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C8698" w14:textId="77777777" w:rsidR="000660B8" w:rsidRPr="00D24027" w:rsidRDefault="001164CB" w:rsidP="00147FC6">
      <w:pPr>
        <w:jc w:val="center"/>
        <w:rPr>
          <w:b/>
          <w:sz w:val="56"/>
          <w:lang w:val="en-US"/>
        </w:rPr>
      </w:pPr>
      <w:r w:rsidRPr="00D24027">
        <w:rPr>
          <w:b/>
          <w:sz w:val="56"/>
          <w:lang w:val="en-US"/>
        </w:rPr>
        <w:t>Public Consultation</w:t>
      </w:r>
    </w:p>
    <w:p w14:paraId="6B844ADC" w14:textId="77777777" w:rsidR="001164CB" w:rsidRDefault="001164CB">
      <w:pPr>
        <w:rPr>
          <w:lang w:val="en-US"/>
        </w:rPr>
      </w:pPr>
    </w:p>
    <w:p w14:paraId="4D38CB5D" w14:textId="77777777" w:rsidR="00D24027" w:rsidRDefault="00D24027" w:rsidP="00D24027">
      <w:pPr>
        <w:pStyle w:val="Corpsdetexte"/>
        <w:spacing w:before="11"/>
        <w:jc w:val="center"/>
        <w:rPr>
          <w:rFonts w:asciiTheme="minorHAnsi" w:eastAsiaTheme="minorHAnsi" w:hAnsiTheme="minorHAnsi" w:cstheme="minorBidi"/>
          <w:b/>
          <w:sz w:val="32"/>
          <w:szCs w:val="22"/>
        </w:rPr>
      </w:pPr>
      <w:r>
        <w:rPr>
          <w:rFonts w:asciiTheme="minorHAnsi" w:eastAsiaTheme="minorHAnsi" w:hAnsiTheme="minorHAnsi" w:cstheme="minorBidi"/>
          <w:b/>
          <w:sz w:val="32"/>
          <w:szCs w:val="22"/>
        </w:rPr>
        <w:t xml:space="preserve">Draft </w:t>
      </w:r>
      <w:r w:rsidRPr="00062946">
        <w:rPr>
          <w:rFonts w:asciiTheme="minorHAnsi" w:eastAsiaTheme="minorHAnsi" w:hAnsiTheme="minorHAnsi" w:cstheme="minorBidi"/>
          <w:b/>
          <w:sz w:val="32"/>
          <w:szCs w:val="22"/>
        </w:rPr>
        <w:t xml:space="preserve">Code of Conduct for Data Portability </w:t>
      </w:r>
    </w:p>
    <w:p w14:paraId="16DE88ED" w14:textId="77777777" w:rsidR="00D24027" w:rsidRDefault="00D24027" w:rsidP="00D24027">
      <w:pPr>
        <w:pStyle w:val="Corpsdetexte"/>
        <w:spacing w:before="11"/>
        <w:jc w:val="center"/>
        <w:rPr>
          <w:rFonts w:asciiTheme="minorHAnsi" w:eastAsiaTheme="minorHAnsi" w:hAnsiTheme="minorHAnsi" w:cstheme="minorBidi"/>
          <w:b/>
          <w:sz w:val="32"/>
          <w:szCs w:val="22"/>
        </w:rPr>
      </w:pPr>
      <w:r w:rsidRPr="00062946">
        <w:rPr>
          <w:rFonts w:asciiTheme="minorHAnsi" w:eastAsiaTheme="minorHAnsi" w:hAnsiTheme="minorHAnsi" w:cstheme="minorBidi"/>
          <w:b/>
          <w:sz w:val="32"/>
          <w:szCs w:val="22"/>
        </w:rPr>
        <w:t xml:space="preserve">and </w:t>
      </w:r>
      <w:r>
        <w:rPr>
          <w:rFonts w:asciiTheme="minorHAnsi" w:eastAsiaTheme="minorHAnsi" w:hAnsiTheme="minorHAnsi" w:cstheme="minorBidi"/>
          <w:b/>
          <w:sz w:val="32"/>
          <w:szCs w:val="22"/>
        </w:rPr>
        <w:t>Cloud Service</w:t>
      </w:r>
      <w:r w:rsidRPr="00062946">
        <w:rPr>
          <w:rFonts w:asciiTheme="minorHAnsi" w:eastAsiaTheme="minorHAnsi" w:hAnsiTheme="minorHAnsi" w:cstheme="minorBidi"/>
          <w:b/>
          <w:sz w:val="32"/>
          <w:szCs w:val="22"/>
        </w:rPr>
        <w:t xml:space="preserve"> Switching </w:t>
      </w:r>
    </w:p>
    <w:p w14:paraId="7237B347" w14:textId="77777777" w:rsidR="009D0814" w:rsidRPr="00E7157F" w:rsidRDefault="00D24027" w:rsidP="00E7157F">
      <w:pPr>
        <w:pStyle w:val="Corpsdetexte"/>
        <w:spacing w:before="11"/>
        <w:jc w:val="center"/>
        <w:rPr>
          <w:rFonts w:asciiTheme="minorHAnsi" w:eastAsiaTheme="minorHAnsi" w:hAnsiTheme="minorHAnsi" w:cstheme="minorBidi"/>
          <w:b/>
          <w:sz w:val="36"/>
          <w:szCs w:val="22"/>
        </w:rPr>
      </w:pPr>
      <w:r w:rsidRPr="00062946">
        <w:rPr>
          <w:rFonts w:asciiTheme="minorHAnsi" w:eastAsiaTheme="minorHAnsi" w:hAnsiTheme="minorHAnsi" w:cstheme="minorBidi"/>
          <w:b/>
          <w:sz w:val="32"/>
          <w:szCs w:val="32"/>
        </w:rPr>
        <w:t xml:space="preserve">for Infrastructure as a Service </w:t>
      </w:r>
      <w:r>
        <w:rPr>
          <w:rFonts w:asciiTheme="minorHAnsi" w:eastAsiaTheme="minorHAnsi" w:hAnsiTheme="minorHAnsi" w:cstheme="minorBidi"/>
          <w:b/>
          <w:sz w:val="32"/>
          <w:szCs w:val="32"/>
        </w:rPr>
        <w:t xml:space="preserve">(IaaS) </w:t>
      </w:r>
      <w:r w:rsidRPr="00062946">
        <w:rPr>
          <w:rFonts w:asciiTheme="minorHAnsi" w:eastAsiaTheme="minorHAnsi" w:hAnsiTheme="minorHAnsi" w:cstheme="minorBidi"/>
          <w:b/>
          <w:sz w:val="32"/>
          <w:szCs w:val="32"/>
        </w:rPr>
        <w:t>Cloud services</w:t>
      </w:r>
      <w:r w:rsidRPr="007F270D">
        <w:rPr>
          <w:rFonts w:asciiTheme="minorHAnsi" w:eastAsiaTheme="minorHAnsi" w:hAnsiTheme="minorHAnsi" w:cstheme="minorBidi"/>
          <w:b/>
          <w:sz w:val="36"/>
          <w:szCs w:val="22"/>
        </w:rPr>
        <w:t xml:space="preserve"> </w:t>
      </w:r>
    </w:p>
    <w:p w14:paraId="0C54EC48" w14:textId="77777777" w:rsidR="008024F8" w:rsidRDefault="008024F8" w:rsidP="009D0814">
      <w:pPr>
        <w:pBdr>
          <w:bottom w:val="single" w:sz="4" w:space="1" w:color="auto"/>
        </w:pBdr>
        <w:rPr>
          <w:b/>
          <w:sz w:val="36"/>
          <w:lang w:val="en-US"/>
        </w:rPr>
      </w:pPr>
    </w:p>
    <w:p w14:paraId="4C54279C" w14:textId="77777777" w:rsidR="001164CB" w:rsidRPr="009D0814" w:rsidRDefault="009D0814" w:rsidP="009D0814">
      <w:pPr>
        <w:pBdr>
          <w:bottom w:val="single" w:sz="4" w:space="1" w:color="auto"/>
        </w:pBdr>
        <w:rPr>
          <w:b/>
          <w:sz w:val="36"/>
          <w:lang w:val="en-US"/>
        </w:rPr>
      </w:pPr>
      <w:r w:rsidRPr="009D0814">
        <w:rPr>
          <w:b/>
          <w:sz w:val="36"/>
          <w:lang w:val="en-US"/>
        </w:rPr>
        <w:t>Topic of the Public Consultation</w:t>
      </w:r>
    </w:p>
    <w:p w14:paraId="538076AB" w14:textId="77777777" w:rsidR="009D0814" w:rsidRDefault="009D0814">
      <w:pPr>
        <w:rPr>
          <w:lang w:val="en-US"/>
        </w:rPr>
      </w:pPr>
    </w:p>
    <w:p w14:paraId="025566A6" w14:textId="77777777" w:rsidR="009D0814" w:rsidRDefault="009D0814" w:rsidP="001A7712">
      <w:pPr>
        <w:jc w:val="both"/>
        <w:rPr>
          <w:lang w:val="en-US"/>
        </w:rPr>
      </w:pPr>
      <w:r>
        <w:rPr>
          <w:lang w:val="en-US"/>
        </w:rPr>
        <w:t>The Art. 6 of the coming Free Flow of non-personal Data Regulation proposed by the European Commission ask the industry to develop Codes of Conduct to ensure effective portability of data between Cloud services (i.e. easy switch from one cloud provider to another or to on premise facilities of Cloud users).</w:t>
      </w:r>
    </w:p>
    <w:p w14:paraId="214FB0B1" w14:textId="77777777" w:rsidR="009D0814" w:rsidRDefault="009D0814" w:rsidP="001A7712">
      <w:pPr>
        <w:jc w:val="both"/>
        <w:rPr>
          <w:lang w:val="en-US"/>
        </w:rPr>
      </w:pPr>
    </w:p>
    <w:p w14:paraId="093A4D99" w14:textId="7FD691DC" w:rsidR="009D0814" w:rsidRDefault="009D0814" w:rsidP="001A7712">
      <w:pPr>
        <w:jc w:val="both"/>
        <w:rPr>
          <w:lang w:val="en-US"/>
        </w:rPr>
      </w:pPr>
      <w:r>
        <w:rPr>
          <w:lang w:val="en-US"/>
        </w:rPr>
        <w:t>In anticipation of this regulation, industry players</w:t>
      </w:r>
      <w:r>
        <w:rPr>
          <w:rStyle w:val="Appelnotedebasdep"/>
          <w:lang w:val="en-US"/>
        </w:rPr>
        <w:footnoteReference w:id="1"/>
      </w:r>
      <w:r>
        <w:rPr>
          <w:lang w:val="en-US"/>
        </w:rPr>
        <w:t xml:space="preserve"> developed a draft Code of Conduct for Infrastructure as a Service (IaaS), on which all stakeholders (CIOs, </w:t>
      </w:r>
      <w:r w:rsidR="008249B5">
        <w:rPr>
          <w:lang w:val="en-US"/>
        </w:rPr>
        <w:t xml:space="preserve">Business Users, </w:t>
      </w:r>
      <w:r>
        <w:rPr>
          <w:lang w:val="en-US"/>
        </w:rPr>
        <w:t>Providers, Academics, etc.) are welcome to provide feedback to update this draft, and help the drafting team to finalize a document during the summer 2018.</w:t>
      </w:r>
    </w:p>
    <w:p w14:paraId="1CBFA227" w14:textId="77777777" w:rsidR="009D0814" w:rsidRDefault="009D0814" w:rsidP="001A7712">
      <w:pPr>
        <w:jc w:val="both"/>
        <w:rPr>
          <w:lang w:val="en-US"/>
        </w:rPr>
      </w:pPr>
    </w:p>
    <w:p w14:paraId="7EBC7526" w14:textId="77777777" w:rsidR="009D0814" w:rsidRDefault="009D0814" w:rsidP="001A7712">
      <w:pPr>
        <w:jc w:val="both"/>
        <w:rPr>
          <w:lang w:val="en-US"/>
        </w:rPr>
      </w:pPr>
      <w:r>
        <w:rPr>
          <w:lang w:val="en-US"/>
        </w:rPr>
        <w:t xml:space="preserve">Once </w:t>
      </w:r>
      <w:r w:rsidR="00D24027">
        <w:rPr>
          <w:lang w:val="en-US"/>
        </w:rPr>
        <w:t>finalized, the document will be subj</w:t>
      </w:r>
      <w:r>
        <w:rPr>
          <w:lang w:val="en-US"/>
        </w:rPr>
        <w:t>e</w:t>
      </w:r>
      <w:r w:rsidR="00D24027">
        <w:rPr>
          <w:lang w:val="en-US"/>
        </w:rPr>
        <w:t>c</w:t>
      </w:r>
      <w:r>
        <w:rPr>
          <w:lang w:val="en-US"/>
        </w:rPr>
        <w:t xml:space="preserve">t to approval of the SWIPO IAAS Working Group by simple majority, with a double minority </w:t>
      </w:r>
      <w:r w:rsidR="00D24027">
        <w:rPr>
          <w:lang w:val="en-US"/>
        </w:rPr>
        <w:t>blocking</w:t>
      </w:r>
      <w:r>
        <w:rPr>
          <w:lang w:val="en-US"/>
        </w:rPr>
        <w:t xml:space="preserve"> system where one third of providers of the WG and one third of the users of the group should not vote against the proposition.</w:t>
      </w:r>
    </w:p>
    <w:p w14:paraId="1EE741D8" w14:textId="77777777" w:rsidR="00D24027" w:rsidRDefault="00D24027" w:rsidP="001A7712">
      <w:pPr>
        <w:jc w:val="both"/>
        <w:rPr>
          <w:lang w:val="en-US"/>
        </w:rPr>
      </w:pPr>
    </w:p>
    <w:p w14:paraId="2CFAD9AB" w14:textId="4125DEDC" w:rsidR="009D0814" w:rsidRDefault="00D24027" w:rsidP="00661AA6">
      <w:pPr>
        <w:jc w:val="both"/>
        <w:rPr>
          <w:lang w:val="en-US"/>
        </w:rPr>
      </w:pPr>
      <w:r>
        <w:rPr>
          <w:lang w:val="en-US"/>
        </w:rPr>
        <w:t>If you</w:t>
      </w:r>
      <w:r w:rsidR="00DE3269">
        <w:rPr>
          <w:lang w:val="en-US"/>
        </w:rPr>
        <w:t xml:space="preserve">r organization is not already an expert </w:t>
      </w:r>
      <w:r>
        <w:rPr>
          <w:lang w:val="en-US"/>
        </w:rPr>
        <w:t>member of the SWIPO IAAS Working Group, feel free to apply using the answer to this consultation (see Identification section hereunder).</w:t>
      </w:r>
    </w:p>
    <w:p w14:paraId="29A28459" w14:textId="77777777" w:rsidR="00661AA6" w:rsidRDefault="00661AA6" w:rsidP="00661AA6">
      <w:pPr>
        <w:jc w:val="both"/>
        <w:rPr>
          <w:lang w:val="en-US"/>
        </w:rPr>
      </w:pPr>
    </w:p>
    <w:p w14:paraId="2E7D3CAE" w14:textId="77777777" w:rsidR="009D0814" w:rsidRPr="001164CB" w:rsidRDefault="009D0814">
      <w:pPr>
        <w:rPr>
          <w:lang w:val="en-US"/>
        </w:rPr>
      </w:pPr>
    </w:p>
    <w:p w14:paraId="158DA499" w14:textId="77777777" w:rsidR="001164CB" w:rsidRPr="00147FC6" w:rsidRDefault="001164CB" w:rsidP="001164CB">
      <w:pPr>
        <w:pBdr>
          <w:bottom w:val="single" w:sz="4" w:space="1" w:color="auto"/>
        </w:pBdr>
        <w:rPr>
          <w:b/>
          <w:sz w:val="36"/>
          <w:lang w:val="en-US"/>
        </w:rPr>
      </w:pPr>
      <w:r w:rsidRPr="00147FC6">
        <w:rPr>
          <w:b/>
          <w:sz w:val="36"/>
          <w:lang w:val="en-US"/>
        </w:rPr>
        <w:t>How to participate?</w:t>
      </w:r>
    </w:p>
    <w:p w14:paraId="75F03CB3" w14:textId="77777777" w:rsidR="001164CB" w:rsidRPr="001164CB" w:rsidRDefault="001164CB">
      <w:pPr>
        <w:rPr>
          <w:lang w:val="en-US"/>
        </w:rPr>
      </w:pPr>
    </w:p>
    <w:p w14:paraId="1C5584EF" w14:textId="77777777" w:rsidR="001164CB" w:rsidRDefault="001164CB" w:rsidP="001164CB">
      <w:pPr>
        <w:pStyle w:val="Pardeliste"/>
        <w:numPr>
          <w:ilvl w:val="0"/>
          <w:numId w:val="1"/>
        </w:numPr>
        <w:rPr>
          <w:lang w:val="en-US"/>
        </w:rPr>
      </w:pPr>
      <w:r w:rsidRPr="001164CB">
        <w:rPr>
          <w:lang w:val="en-US"/>
        </w:rPr>
        <w:t xml:space="preserve">Complete the present document answering the question </w:t>
      </w:r>
      <w:r>
        <w:rPr>
          <w:lang w:val="en-US"/>
        </w:rPr>
        <w:t>and/or</w:t>
      </w:r>
    </w:p>
    <w:p w14:paraId="1BEB7037" w14:textId="77777777" w:rsidR="000408BA" w:rsidRPr="000408BA" w:rsidRDefault="000408BA" w:rsidP="000408BA">
      <w:pPr>
        <w:rPr>
          <w:lang w:val="en-US"/>
        </w:rPr>
      </w:pPr>
    </w:p>
    <w:p w14:paraId="137F890B" w14:textId="77777777" w:rsidR="00661AA6" w:rsidRDefault="001164CB" w:rsidP="001164CB">
      <w:pPr>
        <w:pStyle w:val="Pardeliste"/>
        <w:numPr>
          <w:ilvl w:val="0"/>
          <w:numId w:val="1"/>
        </w:numPr>
        <w:rPr>
          <w:lang w:val="en-US"/>
        </w:rPr>
      </w:pPr>
      <w:r>
        <w:rPr>
          <w:lang w:val="en-US"/>
        </w:rPr>
        <w:t>Comment the draft Code of Conduct</w:t>
      </w:r>
      <w:r w:rsidR="009D0814">
        <w:rPr>
          <w:lang w:val="en-US"/>
        </w:rPr>
        <w:t xml:space="preserve"> (downloadable here:</w:t>
      </w:r>
      <w:r w:rsidR="002076C6">
        <w:rPr>
          <w:lang w:val="en-US"/>
        </w:rPr>
        <w:t xml:space="preserve"> </w:t>
      </w:r>
    </w:p>
    <w:p w14:paraId="17D97980" w14:textId="1EB92DFC" w:rsidR="001164CB" w:rsidRDefault="00661AA6" w:rsidP="00661AA6">
      <w:pPr>
        <w:pStyle w:val="Pardeliste"/>
        <w:rPr>
          <w:lang w:val="en-US"/>
        </w:rPr>
      </w:pPr>
      <w:hyperlink r:id="rId7" w:history="1">
        <w:r w:rsidRPr="00120F5F">
          <w:rPr>
            <w:rStyle w:val="Lienhypertexte"/>
            <w:lang w:val="en-US"/>
          </w:rPr>
          <w:t>http://cloudswitching.eu/wp-content/uploads/2018/06/20180608-Cloud-Portability_CoC_Draft_V016-PublicConsultation.docx</w:t>
        </w:r>
      </w:hyperlink>
      <w:r>
        <w:rPr>
          <w:lang w:val="en-US"/>
        </w:rPr>
        <w:t xml:space="preserve"> </w:t>
      </w:r>
    </w:p>
    <w:p w14:paraId="6E21EB99" w14:textId="77777777" w:rsidR="000408BA" w:rsidRDefault="000408BA" w:rsidP="00661AA6">
      <w:pPr>
        <w:pStyle w:val="Pardeliste"/>
        <w:rPr>
          <w:lang w:val="en-US"/>
        </w:rPr>
      </w:pPr>
    </w:p>
    <w:p w14:paraId="0D16F194" w14:textId="77777777" w:rsidR="002076C6" w:rsidRDefault="001164CB" w:rsidP="001164CB">
      <w:pPr>
        <w:pStyle w:val="Pardeliste"/>
        <w:numPr>
          <w:ilvl w:val="0"/>
          <w:numId w:val="1"/>
        </w:numPr>
        <w:rPr>
          <w:lang w:val="en-US"/>
        </w:rPr>
      </w:pPr>
      <w:r>
        <w:rPr>
          <w:lang w:val="en-US"/>
        </w:rPr>
        <w:t xml:space="preserve">Send both or one of the 2 completed files through email: </w:t>
      </w:r>
    </w:p>
    <w:p w14:paraId="443E7895" w14:textId="3E22BA56" w:rsidR="001164CB" w:rsidRDefault="002925A7" w:rsidP="002076C6">
      <w:pPr>
        <w:pStyle w:val="Pardeliste"/>
        <w:rPr>
          <w:b/>
          <w:lang w:val="en-US"/>
        </w:rPr>
      </w:pPr>
      <w:hyperlink r:id="rId8" w:history="1">
        <w:r w:rsidRPr="00120F5F">
          <w:rPr>
            <w:rStyle w:val="Lienhypertexte"/>
            <w:b/>
            <w:lang w:val="en-US"/>
          </w:rPr>
          <w:t>consultation@cloudswitching.eu</w:t>
        </w:r>
      </w:hyperlink>
      <w:r>
        <w:rPr>
          <w:b/>
          <w:lang w:val="en-US"/>
        </w:rPr>
        <w:t xml:space="preserve"> </w:t>
      </w:r>
    </w:p>
    <w:p w14:paraId="2BA4C05A" w14:textId="77777777" w:rsidR="002076C6" w:rsidRDefault="002076C6" w:rsidP="001164CB">
      <w:pPr>
        <w:rPr>
          <w:lang w:val="en-US"/>
        </w:rPr>
      </w:pPr>
    </w:p>
    <w:p w14:paraId="6A73F676" w14:textId="77777777" w:rsidR="00D24027" w:rsidRPr="000408BA" w:rsidRDefault="001164CB" w:rsidP="001164CB">
      <w:pPr>
        <w:jc w:val="center"/>
        <w:rPr>
          <w:b/>
          <w:sz w:val="52"/>
          <w:lang w:val="en-US"/>
        </w:rPr>
      </w:pPr>
      <w:r w:rsidRPr="000408BA">
        <w:rPr>
          <w:b/>
          <w:sz w:val="52"/>
          <w:lang w:val="en-US"/>
        </w:rPr>
        <w:t xml:space="preserve">Deadline for feedbacks: </w:t>
      </w:r>
    </w:p>
    <w:p w14:paraId="3F1B5A3D" w14:textId="6CDDB0DA" w:rsidR="00D24027" w:rsidRPr="000408BA" w:rsidRDefault="00604224" w:rsidP="000C25C4">
      <w:pPr>
        <w:jc w:val="center"/>
        <w:rPr>
          <w:b/>
          <w:color w:val="C00000"/>
          <w:sz w:val="52"/>
          <w:lang w:val="en-US"/>
        </w:rPr>
      </w:pPr>
      <w:r w:rsidRPr="000408BA">
        <w:rPr>
          <w:b/>
          <w:color w:val="C00000"/>
          <w:sz w:val="52"/>
          <w:lang w:val="en-US"/>
        </w:rPr>
        <w:t>July 2</w:t>
      </w:r>
      <w:r w:rsidRPr="000408BA">
        <w:rPr>
          <w:b/>
          <w:color w:val="C00000"/>
          <w:sz w:val="52"/>
          <w:vertAlign w:val="superscript"/>
          <w:lang w:val="en-US"/>
        </w:rPr>
        <w:t>nd</w:t>
      </w:r>
      <w:r w:rsidR="001164CB" w:rsidRPr="000408BA">
        <w:rPr>
          <w:b/>
          <w:color w:val="C00000"/>
          <w:sz w:val="52"/>
          <w:lang w:val="en-US"/>
        </w:rPr>
        <w:t xml:space="preserve"> 2018, 11:00 CET</w:t>
      </w:r>
    </w:p>
    <w:p w14:paraId="53D01E10" w14:textId="77777777" w:rsidR="00661AA6" w:rsidRPr="000C25C4" w:rsidRDefault="00661AA6" w:rsidP="00363058">
      <w:pPr>
        <w:rPr>
          <w:b/>
          <w:color w:val="C00000"/>
          <w:sz w:val="40"/>
          <w:lang w:val="en-US"/>
        </w:rPr>
      </w:pPr>
    </w:p>
    <w:p w14:paraId="17619D92" w14:textId="77777777" w:rsidR="001164CB" w:rsidRPr="00147FC6" w:rsidRDefault="001164CB" w:rsidP="001164CB">
      <w:pPr>
        <w:pBdr>
          <w:bottom w:val="single" w:sz="6" w:space="1" w:color="auto"/>
        </w:pBdr>
        <w:rPr>
          <w:b/>
          <w:sz w:val="36"/>
          <w:lang w:val="en-US"/>
        </w:rPr>
      </w:pPr>
      <w:r w:rsidRPr="00147FC6">
        <w:rPr>
          <w:b/>
          <w:sz w:val="36"/>
          <w:lang w:val="en-US"/>
        </w:rPr>
        <w:t>Identification</w:t>
      </w:r>
    </w:p>
    <w:p w14:paraId="16E6A17D" w14:textId="77777777" w:rsidR="001164CB" w:rsidRDefault="001164CB" w:rsidP="001164CB">
      <w:pPr>
        <w:rPr>
          <w:lang w:val="en-US"/>
        </w:rPr>
      </w:pPr>
    </w:p>
    <w:p w14:paraId="28CDFBC6" w14:textId="77777777" w:rsidR="00A54842" w:rsidRDefault="00A54842" w:rsidP="001164CB">
      <w:pPr>
        <w:rPr>
          <w:lang w:val="en-US"/>
        </w:rPr>
      </w:pPr>
      <w:r>
        <w:rPr>
          <w:lang w:val="en-US"/>
        </w:rPr>
        <w:t xml:space="preserve">First Name: </w:t>
      </w:r>
      <w:r>
        <w:rPr>
          <w:lang w:val="en-US"/>
        </w:rPr>
        <w:tab/>
        <w:t>________________________________</w:t>
      </w:r>
    </w:p>
    <w:p w14:paraId="014099B9" w14:textId="77777777" w:rsidR="00A54842" w:rsidRDefault="00A54842" w:rsidP="001164CB">
      <w:pPr>
        <w:rPr>
          <w:lang w:val="en-US"/>
        </w:rPr>
      </w:pPr>
      <w:r>
        <w:rPr>
          <w:lang w:val="en-US"/>
        </w:rPr>
        <w:t>Family Name:</w:t>
      </w:r>
      <w:r>
        <w:rPr>
          <w:lang w:val="en-US"/>
        </w:rPr>
        <w:tab/>
        <w:t>________________________________</w:t>
      </w:r>
    </w:p>
    <w:p w14:paraId="265609ED" w14:textId="77777777" w:rsidR="00D24027" w:rsidRDefault="00D24027" w:rsidP="001164CB">
      <w:pPr>
        <w:rPr>
          <w:lang w:val="en-US"/>
        </w:rPr>
      </w:pPr>
      <w:r>
        <w:rPr>
          <w:lang w:val="en-US"/>
        </w:rPr>
        <w:t>Role:</w:t>
      </w:r>
      <w:r>
        <w:rPr>
          <w:lang w:val="en-US"/>
        </w:rPr>
        <w:tab/>
      </w:r>
      <w:r>
        <w:rPr>
          <w:lang w:val="en-US"/>
        </w:rPr>
        <w:tab/>
        <w:t>________________________________</w:t>
      </w:r>
    </w:p>
    <w:p w14:paraId="4DC79A05" w14:textId="77777777" w:rsidR="00A54842" w:rsidRDefault="00147FC6" w:rsidP="001164CB">
      <w:pPr>
        <w:rPr>
          <w:lang w:val="en-US"/>
        </w:rPr>
      </w:pPr>
      <w:r>
        <w:rPr>
          <w:lang w:val="en-US"/>
        </w:rPr>
        <w:t>Organization</w:t>
      </w:r>
      <w:r w:rsidR="00A54842">
        <w:rPr>
          <w:lang w:val="en-US"/>
        </w:rPr>
        <w:t>:</w:t>
      </w:r>
      <w:r w:rsidR="00A54842">
        <w:rPr>
          <w:lang w:val="en-US"/>
        </w:rPr>
        <w:tab/>
        <w:t>________________________________</w:t>
      </w:r>
    </w:p>
    <w:p w14:paraId="7D6C9DBF" w14:textId="77777777" w:rsidR="00147FC6" w:rsidRDefault="00147FC6" w:rsidP="00147FC6">
      <w:pPr>
        <w:rPr>
          <w:lang w:val="en-US"/>
        </w:rPr>
      </w:pPr>
      <w:r>
        <w:rPr>
          <w:lang w:val="en-US"/>
        </w:rPr>
        <w:t>Email:</w:t>
      </w:r>
      <w:r>
        <w:rPr>
          <w:lang w:val="en-US"/>
        </w:rPr>
        <w:tab/>
      </w:r>
      <w:r>
        <w:rPr>
          <w:lang w:val="en-US"/>
        </w:rPr>
        <w:tab/>
        <w:t xml:space="preserve"> _______________________________</w:t>
      </w:r>
    </w:p>
    <w:p w14:paraId="4AECAE82" w14:textId="77777777" w:rsidR="00147FC6" w:rsidRDefault="00147FC6" w:rsidP="001164CB">
      <w:pPr>
        <w:rPr>
          <w:lang w:val="en-US"/>
        </w:rPr>
      </w:pPr>
    </w:p>
    <w:p w14:paraId="74EF9075" w14:textId="77777777" w:rsidR="00A54842" w:rsidRDefault="00A54842" w:rsidP="001164CB">
      <w:pPr>
        <w:rPr>
          <w:lang w:val="en-US"/>
        </w:rPr>
      </w:pPr>
      <w:r>
        <w:rPr>
          <w:lang w:val="en-US"/>
        </w:rPr>
        <w:t xml:space="preserve">You are: </w:t>
      </w:r>
    </w:p>
    <w:p w14:paraId="2585D38A" w14:textId="77777777" w:rsidR="00A54842" w:rsidRDefault="00A54842" w:rsidP="00A54842">
      <w:pPr>
        <w:ind w:firstLine="708"/>
        <w:rPr>
          <w:lang w:val="en-US"/>
        </w:rPr>
      </w:pPr>
      <w:r>
        <w:rPr>
          <w:lang w:val="en-US"/>
        </w:rPr>
        <w:t xml:space="preserve">__ Providers of IAAS cloud services </w:t>
      </w:r>
    </w:p>
    <w:p w14:paraId="1A111280" w14:textId="77777777" w:rsidR="00A54842" w:rsidRDefault="00A54842" w:rsidP="00A54842">
      <w:pPr>
        <w:ind w:firstLine="708"/>
        <w:rPr>
          <w:lang w:val="en-US"/>
        </w:rPr>
      </w:pPr>
      <w:r>
        <w:rPr>
          <w:lang w:val="en-US"/>
        </w:rPr>
        <w:t>__ User of IAAS cloud services</w:t>
      </w:r>
    </w:p>
    <w:p w14:paraId="1BFF8946" w14:textId="77777777" w:rsidR="001164CB" w:rsidRDefault="00A54842" w:rsidP="001164CB">
      <w:pPr>
        <w:rPr>
          <w:lang w:val="en-US"/>
        </w:rPr>
      </w:pPr>
      <w:r>
        <w:rPr>
          <w:lang w:val="en-US"/>
        </w:rPr>
        <w:tab/>
        <w:t>__ Other. Please specify ____________</w:t>
      </w:r>
      <w:r w:rsidR="002076C6">
        <w:rPr>
          <w:lang w:val="en-US"/>
        </w:rPr>
        <w:t>_______________________</w:t>
      </w:r>
      <w:r>
        <w:rPr>
          <w:lang w:val="en-US"/>
        </w:rPr>
        <w:t>______</w:t>
      </w:r>
    </w:p>
    <w:p w14:paraId="354214ED" w14:textId="77777777" w:rsidR="001164CB" w:rsidRDefault="001164CB" w:rsidP="001164CB">
      <w:pPr>
        <w:rPr>
          <w:lang w:val="en-US"/>
        </w:rPr>
      </w:pPr>
    </w:p>
    <w:p w14:paraId="66682652" w14:textId="3A04FFFF" w:rsidR="0052342A" w:rsidRDefault="000C25C4" w:rsidP="0052342A">
      <w:pPr>
        <w:rPr>
          <w:lang w:val="en-US"/>
        </w:rPr>
      </w:pPr>
      <w:r>
        <w:rPr>
          <w:lang w:val="en-US"/>
        </w:rPr>
        <w:t>Are you an SME</w:t>
      </w:r>
      <w:r w:rsidR="001951C0">
        <w:rPr>
          <w:lang w:val="en-US"/>
        </w:rPr>
        <w:t>:</w:t>
      </w:r>
      <w:r>
        <w:rPr>
          <w:lang w:val="en-US"/>
        </w:rPr>
        <w:t xml:space="preserve">  </w:t>
      </w:r>
      <w:r w:rsidR="0052342A">
        <w:rPr>
          <w:lang w:val="en-US"/>
        </w:rPr>
        <w:t>Yes / No</w:t>
      </w:r>
    </w:p>
    <w:p w14:paraId="246F8C5A" w14:textId="77777777" w:rsidR="0052342A" w:rsidRDefault="0052342A" w:rsidP="001164CB">
      <w:pPr>
        <w:rPr>
          <w:lang w:val="en-US"/>
        </w:rPr>
      </w:pPr>
    </w:p>
    <w:p w14:paraId="4329A16A" w14:textId="3DD74D13" w:rsidR="00147FC6" w:rsidRDefault="00147FC6" w:rsidP="001164CB">
      <w:pPr>
        <w:rPr>
          <w:lang w:val="en-US"/>
        </w:rPr>
      </w:pPr>
      <w:r>
        <w:rPr>
          <w:lang w:val="en-US"/>
        </w:rPr>
        <w:t xml:space="preserve">Would you like to join the SWIPO IAAS </w:t>
      </w:r>
      <w:r w:rsidR="002076C6">
        <w:rPr>
          <w:lang w:val="en-US"/>
        </w:rPr>
        <w:t>Experts Group</w:t>
      </w:r>
      <w:r>
        <w:rPr>
          <w:lang w:val="en-US"/>
        </w:rPr>
        <w:t>:</w:t>
      </w:r>
      <w:r w:rsidR="000C25C4">
        <w:rPr>
          <w:lang w:val="en-US"/>
        </w:rPr>
        <w:t xml:space="preserve">  </w:t>
      </w:r>
      <w:r>
        <w:rPr>
          <w:lang w:val="en-US"/>
        </w:rPr>
        <w:t>Yes / No</w:t>
      </w:r>
    </w:p>
    <w:p w14:paraId="2F2226C4" w14:textId="77777777" w:rsidR="00147FC6" w:rsidRDefault="00147FC6" w:rsidP="001164CB">
      <w:pPr>
        <w:rPr>
          <w:lang w:val="en-US"/>
        </w:rPr>
      </w:pPr>
    </w:p>
    <w:p w14:paraId="4C35FD14" w14:textId="77777777" w:rsidR="00C60053" w:rsidRDefault="00C60053" w:rsidP="001164CB">
      <w:pPr>
        <w:rPr>
          <w:lang w:val="en-US"/>
        </w:rPr>
      </w:pPr>
    </w:p>
    <w:p w14:paraId="4E3AB3DE" w14:textId="77777777" w:rsidR="001164CB" w:rsidRPr="00147FC6" w:rsidRDefault="001164CB" w:rsidP="001164CB">
      <w:pPr>
        <w:pBdr>
          <w:bottom w:val="single" w:sz="6" w:space="1" w:color="auto"/>
        </w:pBdr>
        <w:rPr>
          <w:b/>
          <w:sz w:val="36"/>
          <w:lang w:val="en-US"/>
        </w:rPr>
      </w:pPr>
      <w:r w:rsidRPr="00147FC6">
        <w:rPr>
          <w:b/>
          <w:sz w:val="36"/>
          <w:lang w:val="en-US"/>
        </w:rPr>
        <w:t>Questions</w:t>
      </w:r>
    </w:p>
    <w:p w14:paraId="3D13300E" w14:textId="77777777" w:rsidR="001164CB" w:rsidRDefault="001164CB" w:rsidP="001164CB">
      <w:pPr>
        <w:rPr>
          <w:lang w:val="en-US"/>
        </w:rPr>
      </w:pPr>
    </w:p>
    <w:p w14:paraId="24274BD9" w14:textId="77777777" w:rsidR="001164CB" w:rsidRDefault="001164CB" w:rsidP="001164CB">
      <w:pPr>
        <w:rPr>
          <w:lang w:val="en-US"/>
        </w:rPr>
      </w:pPr>
      <w:r>
        <w:rPr>
          <w:lang w:val="en-US"/>
        </w:rPr>
        <w:t>The SWIPO IAAS Core Drafting Group is expecting feedbacks on its draft Code. Feel free to comment the document itself. In complement, the Core Drafting Group is also expecting specific feedbacks on the following questions (thanks to answer directly in this document):</w:t>
      </w:r>
    </w:p>
    <w:p w14:paraId="7A639F8C" w14:textId="77777777" w:rsidR="00C60053" w:rsidRDefault="00C60053" w:rsidP="001164CB">
      <w:pPr>
        <w:rPr>
          <w:lang w:val="en-US"/>
        </w:rPr>
      </w:pPr>
    </w:p>
    <w:p w14:paraId="5AECBAEA" w14:textId="77777777" w:rsidR="00C60053" w:rsidRDefault="00C60053" w:rsidP="001164CB">
      <w:pPr>
        <w:rPr>
          <w:lang w:val="en-US"/>
        </w:rPr>
      </w:pPr>
    </w:p>
    <w:p w14:paraId="46CB82FE" w14:textId="7BFBCB19" w:rsidR="001164CB" w:rsidRPr="00147FC6" w:rsidRDefault="0052342A" w:rsidP="001164CB">
      <w:pPr>
        <w:rPr>
          <w:b/>
          <w:sz w:val="28"/>
          <w:lang w:val="en-US"/>
        </w:rPr>
      </w:pPr>
      <w:r>
        <w:rPr>
          <w:b/>
          <w:sz w:val="28"/>
          <w:lang w:val="en-US"/>
        </w:rPr>
        <w:t>Question 1</w:t>
      </w:r>
      <w:r w:rsidR="00A54842" w:rsidRPr="00147FC6">
        <w:rPr>
          <w:b/>
          <w:sz w:val="28"/>
          <w:lang w:val="en-US"/>
        </w:rPr>
        <w:tab/>
        <w:t>Points of controls</w:t>
      </w:r>
    </w:p>
    <w:p w14:paraId="086D17E7" w14:textId="77777777" w:rsidR="001164CB" w:rsidRDefault="001164CB" w:rsidP="001164CB">
      <w:pPr>
        <w:rPr>
          <w:lang w:val="en-US"/>
        </w:rPr>
      </w:pPr>
    </w:p>
    <w:p w14:paraId="5C3AB349" w14:textId="77777777" w:rsidR="00147FC6" w:rsidRDefault="00147FC6" w:rsidP="001164CB">
      <w:pPr>
        <w:rPr>
          <w:lang w:val="en-US"/>
        </w:rPr>
      </w:pPr>
      <w:r>
        <w:rPr>
          <w:lang w:val="en-US"/>
        </w:rPr>
        <w:t xml:space="preserve">Both a self-assessment and third-party certification may be possible under this Code of Conduct. For both, points of controls will be developed in order to ensure that cloud infrastructure services will be able to Adhere to the Code of Conduct. </w:t>
      </w:r>
    </w:p>
    <w:p w14:paraId="52FCE477" w14:textId="77777777" w:rsidR="00147FC6" w:rsidRDefault="00147FC6" w:rsidP="001164CB">
      <w:pPr>
        <w:rPr>
          <w:lang w:val="en-US"/>
        </w:rPr>
      </w:pPr>
    </w:p>
    <w:p w14:paraId="4AD5871E" w14:textId="26584B10" w:rsidR="00147FC6" w:rsidRDefault="00147FC6" w:rsidP="001164CB">
      <w:pPr>
        <w:rPr>
          <w:lang w:val="en-US"/>
        </w:rPr>
      </w:pPr>
      <w:r w:rsidRPr="00147FC6">
        <w:rPr>
          <w:b/>
          <w:i/>
          <w:lang w:val="en-US"/>
        </w:rPr>
        <w:t>Which points of controls would you suggest?</w:t>
      </w:r>
      <w:r>
        <w:rPr>
          <w:lang w:val="en-US"/>
        </w:rPr>
        <w:t xml:space="preserve"> (multi</w:t>
      </w:r>
      <w:r w:rsidR="000408BA">
        <w:rPr>
          <w:lang w:val="en-US"/>
        </w:rPr>
        <w:t>ple</w:t>
      </w:r>
      <w:r>
        <w:rPr>
          <w:lang w:val="en-US"/>
        </w:rPr>
        <w:t xml:space="preserve"> answers expected)</w:t>
      </w:r>
    </w:p>
    <w:p w14:paraId="7CAD5439" w14:textId="77777777" w:rsidR="00147FC6" w:rsidRDefault="00147FC6" w:rsidP="001164CB">
      <w:pPr>
        <w:rPr>
          <w:lang w:val="en-US"/>
        </w:rPr>
      </w:pPr>
    </w:p>
    <w:p w14:paraId="2085161B"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2CADC5FA"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2190DC31"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4D5C0B82"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24446FAB" w14:textId="77777777" w:rsidR="000408BA" w:rsidRDefault="000408BA" w:rsidP="00147FC6">
      <w:pPr>
        <w:pBdr>
          <w:top w:val="single" w:sz="4" w:space="1" w:color="auto"/>
          <w:left w:val="single" w:sz="4" w:space="4" w:color="auto"/>
          <w:bottom w:val="single" w:sz="4" w:space="1" w:color="auto"/>
          <w:right w:val="single" w:sz="4" w:space="4" w:color="auto"/>
        </w:pBdr>
        <w:rPr>
          <w:lang w:val="en-US"/>
        </w:rPr>
      </w:pPr>
    </w:p>
    <w:p w14:paraId="707CB834" w14:textId="77777777" w:rsidR="000408BA" w:rsidRDefault="000408BA" w:rsidP="00147FC6">
      <w:pPr>
        <w:pBdr>
          <w:top w:val="single" w:sz="4" w:space="1" w:color="auto"/>
          <w:left w:val="single" w:sz="4" w:space="4" w:color="auto"/>
          <w:bottom w:val="single" w:sz="4" w:space="1" w:color="auto"/>
          <w:right w:val="single" w:sz="4" w:space="4" w:color="auto"/>
        </w:pBdr>
        <w:rPr>
          <w:lang w:val="en-US"/>
        </w:rPr>
      </w:pPr>
    </w:p>
    <w:p w14:paraId="7BB38EDC" w14:textId="77777777" w:rsidR="000408BA" w:rsidRDefault="000408BA" w:rsidP="00147FC6">
      <w:pPr>
        <w:pBdr>
          <w:top w:val="single" w:sz="4" w:space="1" w:color="auto"/>
          <w:left w:val="single" w:sz="4" w:space="4" w:color="auto"/>
          <w:bottom w:val="single" w:sz="4" w:space="1" w:color="auto"/>
          <w:right w:val="single" w:sz="4" w:space="4" w:color="auto"/>
        </w:pBdr>
        <w:rPr>
          <w:lang w:val="en-US"/>
        </w:rPr>
      </w:pPr>
    </w:p>
    <w:p w14:paraId="27D5CD1A"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502A1EBC"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7AE9E64A"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721E2174" w14:textId="77777777" w:rsidR="00661AA6" w:rsidRDefault="00661AA6" w:rsidP="00147FC6">
      <w:pPr>
        <w:pBdr>
          <w:top w:val="single" w:sz="4" w:space="1" w:color="auto"/>
          <w:left w:val="single" w:sz="4" w:space="4" w:color="auto"/>
          <w:bottom w:val="single" w:sz="4" w:space="1" w:color="auto"/>
          <w:right w:val="single" w:sz="4" w:space="4" w:color="auto"/>
        </w:pBdr>
        <w:rPr>
          <w:lang w:val="en-US"/>
        </w:rPr>
      </w:pPr>
    </w:p>
    <w:p w14:paraId="70316D5C"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333D4C99"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51B04BE5" w14:textId="77777777" w:rsidR="00147FC6" w:rsidRDefault="00147FC6" w:rsidP="001164CB">
      <w:pPr>
        <w:rPr>
          <w:lang w:val="en-US"/>
        </w:rPr>
      </w:pPr>
    </w:p>
    <w:p w14:paraId="08F65096" w14:textId="77777777" w:rsidR="00661AA6" w:rsidRDefault="00661AA6" w:rsidP="001164CB">
      <w:pPr>
        <w:rPr>
          <w:lang w:val="en-US"/>
        </w:rPr>
      </w:pPr>
    </w:p>
    <w:p w14:paraId="55AD31FF" w14:textId="77777777" w:rsidR="00661AA6" w:rsidRDefault="00661AA6" w:rsidP="001164CB">
      <w:pPr>
        <w:rPr>
          <w:lang w:val="en-US"/>
        </w:rPr>
      </w:pPr>
    </w:p>
    <w:p w14:paraId="7063DF6C" w14:textId="77777777" w:rsidR="00661AA6" w:rsidRDefault="00661AA6" w:rsidP="001164CB">
      <w:pPr>
        <w:rPr>
          <w:lang w:val="en-US"/>
        </w:rPr>
      </w:pPr>
    </w:p>
    <w:p w14:paraId="735C6083" w14:textId="1E1B93A6" w:rsidR="001164CB" w:rsidRPr="00147FC6" w:rsidRDefault="0052342A" w:rsidP="001164CB">
      <w:pPr>
        <w:rPr>
          <w:b/>
          <w:sz w:val="28"/>
          <w:lang w:val="en-US"/>
        </w:rPr>
      </w:pPr>
      <w:r>
        <w:rPr>
          <w:b/>
          <w:sz w:val="28"/>
          <w:lang w:val="en-US"/>
        </w:rPr>
        <w:t>Question 2</w:t>
      </w:r>
      <w:r w:rsidR="00A54842" w:rsidRPr="00147FC6">
        <w:rPr>
          <w:b/>
          <w:sz w:val="28"/>
          <w:lang w:val="en-US"/>
        </w:rPr>
        <w:tab/>
        <w:t>Testing points</w:t>
      </w:r>
    </w:p>
    <w:p w14:paraId="39EF7701" w14:textId="77777777" w:rsidR="001164CB" w:rsidRDefault="001164CB" w:rsidP="001164CB">
      <w:pPr>
        <w:rPr>
          <w:lang w:val="en-US"/>
        </w:rPr>
      </w:pPr>
    </w:p>
    <w:p w14:paraId="427F1FA1" w14:textId="79C02A76" w:rsidR="00661AA6" w:rsidRDefault="00661AA6" w:rsidP="001164CB">
      <w:pPr>
        <w:rPr>
          <w:lang w:val="en-US"/>
        </w:rPr>
      </w:pPr>
      <w:r>
        <w:rPr>
          <w:lang w:val="en-US"/>
        </w:rPr>
        <w:t>In order to ensure effective portability of IaaS services, tests should be performed before switching from a cloud infrastructure service to another, and once the transfer completed.</w:t>
      </w:r>
    </w:p>
    <w:p w14:paraId="0EB96764" w14:textId="77777777" w:rsidR="00661AA6" w:rsidRDefault="00661AA6" w:rsidP="001164CB">
      <w:pPr>
        <w:rPr>
          <w:lang w:val="en-US"/>
        </w:rPr>
      </w:pPr>
    </w:p>
    <w:p w14:paraId="5C29E77A" w14:textId="08D8391E" w:rsidR="00661AA6" w:rsidRPr="002470F4" w:rsidRDefault="00661AA6" w:rsidP="001164CB">
      <w:pPr>
        <w:rPr>
          <w:b/>
          <w:lang w:val="en-US"/>
        </w:rPr>
      </w:pPr>
      <w:r w:rsidRPr="002470F4">
        <w:rPr>
          <w:b/>
          <w:lang w:val="en-US"/>
        </w:rPr>
        <w:t>In your opinion, which tests should be performed? For each of them who should perform it (Provider / Customer)? Who makes the final attestation? Should it be agreed by parties? Aligned with common standards?</w:t>
      </w:r>
    </w:p>
    <w:p w14:paraId="738046A6" w14:textId="77777777" w:rsidR="00147FC6" w:rsidRDefault="00147FC6" w:rsidP="00147FC6">
      <w:pPr>
        <w:rPr>
          <w:lang w:val="en-US"/>
        </w:rPr>
      </w:pPr>
    </w:p>
    <w:p w14:paraId="1B233BA1"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31B34391"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1CAB9C91" w14:textId="77777777" w:rsidR="002470F4" w:rsidRDefault="002470F4" w:rsidP="00147FC6">
      <w:pPr>
        <w:pBdr>
          <w:top w:val="single" w:sz="4" w:space="1" w:color="auto"/>
          <w:left w:val="single" w:sz="4" w:space="4" w:color="auto"/>
          <w:bottom w:val="single" w:sz="4" w:space="1" w:color="auto"/>
          <w:right w:val="single" w:sz="4" w:space="4" w:color="auto"/>
        </w:pBdr>
        <w:rPr>
          <w:lang w:val="en-US"/>
        </w:rPr>
      </w:pPr>
    </w:p>
    <w:p w14:paraId="4533CE5E"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6F80CAEE"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3AF6040C"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0B06164E"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03926EEE"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23B6439B"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224C4C0E"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640E7825"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1A241316"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5B224249" w14:textId="77777777" w:rsidR="002470F4" w:rsidRDefault="002470F4" w:rsidP="00147FC6">
      <w:pPr>
        <w:pBdr>
          <w:top w:val="single" w:sz="4" w:space="1" w:color="auto"/>
          <w:left w:val="single" w:sz="4" w:space="4" w:color="auto"/>
          <w:bottom w:val="single" w:sz="4" w:space="1" w:color="auto"/>
          <w:right w:val="single" w:sz="4" w:space="4" w:color="auto"/>
        </w:pBdr>
        <w:rPr>
          <w:lang w:val="en-US"/>
        </w:rPr>
      </w:pPr>
    </w:p>
    <w:p w14:paraId="4C55CC13" w14:textId="77777777" w:rsidR="002470F4" w:rsidRDefault="002470F4" w:rsidP="00147FC6">
      <w:pPr>
        <w:pBdr>
          <w:top w:val="single" w:sz="4" w:space="1" w:color="auto"/>
          <w:left w:val="single" w:sz="4" w:space="4" w:color="auto"/>
          <w:bottom w:val="single" w:sz="4" w:space="1" w:color="auto"/>
          <w:right w:val="single" w:sz="4" w:space="4" w:color="auto"/>
        </w:pBdr>
        <w:rPr>
          <w:lang w:val="en-US"/>
        </w:rPr>
      </w:pPr>
    </w:p>
    <w:p w14:paraId="74FCFF31"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28D6F097" w14:textId="77777777" w:rsidR="00147FC6" w:rsidRDefault="00147FC6" w:rsidP="00147FC6">
      <w:pPr>
        <w:pBdr>
          <w:top w:val="single" w:sz="4" w:space="1" w:color="auto"/>
          <w:left w:val="single" w:sz="4" w:space="4" w:color="auto"/>
          <w:bottom w:val="single" w:sz="4" w:space="1" w:color="auto"/>
          <w:right w:val="single" w:sz="4" w:space="4" w:color="auto"/>
        </w:pBdr>
        <w:rPr>
          <w:lang w:val="en-US"/>
        </w:rPr>
      </w:pPr>
    </w:p>
    <w:p w14:paraId="58D89903" w14:textId="77777777" w:rsidR="00147FC6" w:rsidRDefault="00147FC6" w:rsidP="00147FC6">
      <w:pPr>
        <w:rPr>
          <w:lang w:val="en-US"/>
        </w:rPr>
      </w:pPr>
    </w:p>
    <w:p w14:paraId="39DC5E70" w14:textId="77777777" w:rsidR="009D0814" w:rsidRDefault="009D0814" w:rsidP="001164CB">
      <w:pPr>
        <w:rPr>
          <w:lang w:val="en-US"/>
        </w:rPr>
      </w:pPr>
    </w:p>
    <w:p w14:paraId="561FB139" w14:textId="3B659313" w:rsidR="00C60053" w:rsidRPr="00C60053" w:rsidRDefault="00C60053" w:rsidP="00C60053">
      <w:pPr>
        <w:rPr>
          <w:b/>
          <w:sz w:val="28"/>
          <w:lang w:val="en-US"/>
        </w:rPr>
      </w:pPr>
      <w:r w:rsidRPr="00C60053">
        <w:rPr>
          <w:b/>
          <w:sz w:val="28"/>
          <w:lang w:val="en-US"/>
        </w:rPr>
        <w:t xml:space="preserve">Question </w:t>
      </w:r>
      <w:r w:rsidR="0052342A">
        <w:rPr>
          <w:b/>
          <w:sz w:val="28"/>
          <w:lang w:val="en-US"/>
        </w:rPr>
        <w:t>3</w:t>
      </w:r>
      <w:r>
        <w:rPr>
          <w:b/>
          <w:sz w:val="28"/>
          <w:lang w:val="en-US"/>
        </w:rPr>
        <w:t xml:space="preserve"> Benefits to SMEs</w:t>
      </w:r>
    </w:p>
    <w:p w14:paraId="18DEBCF0" w14:textId="77777777" w:rsidR="00C60053" w:rsidRDefault="00C60053" w:rsidP="001164CB">
      <w:pPr>
        <w:rPr>
          <w:lang w:val="en-US"/>
        </w:rPr>
      </w:pPr>
    </w:p>
    <w:p w14:paraId="340305E0" w14:textId="082275FE" w:rsidR="00C60053" w:rsidRDefault="00C60053" w:rsidP="001164CB">
      <w:pPr>
        <w:rPr>
          <w:lang w:val="en-US"/>
        </w:rPr>
      </w:pPr>
      <w:r>
        <w:rPr>
          <w:lang w:val="en-US"/>
        </w:rPr>
        <w:t xml:space="preserve">The </w:t>
      </w:r>
      <w:r w:rsidR="00232267">
        <w:rPr>
          <w:lang w:val="en-US"/>
        </w:rPr>
        <w:t>proposed</w:t>
      </w:r>
      <w:r>
        <w:rPr>
          <w:lang w:val="en-US"/>
        </w:rPr>
        <w:t xml:space="preserve"> “Free Flow of non-personal Data</w:t>
      </w:r>
      <w:r w:rsidR="00CB6C53">
        <w:rPr>
          <w:lang w:val="en-US"/>
        </w:rPr>
        <w:t xml:space="preserve"> Regulation</w:t>
      </w:r>
      <w:r>
        <w:rPr>
          <w:lang w:val="en-US"/>
        </w:rPr>
        <w:t xml:space="preserve">” aims to enable easy switching from one cloud </w:t>
      </w:r>
      <w:r w:rsidR="00CB6C53">
        <w:rPr>
          <w:lang w:val="en-US"/>
        </w:rPr>
        <w:t>service</w:t>
      </w:r>
      <w:r>
        <w:rPr>
          <w:lang w:val="en-US"/>
        </w:rPr>
        <w:t xml:space="preserve"> to another. </w:t>
      </w:r>
      <w:r w:rsidR="002166AD">
        <w:rPr>
          <w:lang w:val="en-US"/>
        </w:rPr>
        <w:t>Taking the SMEs’ perspective into account in any Code of Conduct is key.</w:t>
      </w:r>
    </w:p>
    <w:p w14:paraId="73052F2C" w14:textId="77777777" w:rsidR="00C60053" w:rsidRDefault="00C60053" w:rsidP="001164CB">
      <w:pPr>
        <w:rPr>
          <w:lang w:val="en-US"/>
        </w:rPr>
      </w:pPr>
    </w:p>
    <w:p w14:paraId="28EFB228" w14:textId="1B3F38F7" w:rsidR="00C60053" w:rsidRDefault="00C60053" w:rsidP="001164CB">
      <w:pPr>
        <w:rPr>
          <w:lang w:val="en-US"/>
        </w:rPr>
      </w:pPr>
      <w:r w:rsidRPr="002925A7">
        <w:rPr>
          <w:b/>
          <w:lang w:val="en-US"/>
        </w:rPr>
        <w:t xml:space="preserve">Do you </w:t>
      </w:r>
      <w:r w:rsidR="002166AD" w:rsidRPr="002925A7">
        <w:rPr>
          <w:b/>
          <w:lang w:val="en-US"/>
        </w:rPr>
        <w:t xml:space="preserve">think that the current draft will help SMEs (from both IAAS </w:t>
      </w:r>
      <w:r w:rsidR="002C542D">
        <w:rPr>
          <w:b/>
          <w:lang w:val="en-US"/>
        </w:rPr>
        <w:t>customer</w:t>
      </w:r>
      <w:r w:rsidR="002166AD" w:rsidRPr="002925A7">
        <w:rPr>
          <w:b/>
          <w:lang w:val="en-US"/>
        </w:rPr>
        <w:t xml:space="preserve"> and IAAS provider sides) to benefit from the regulation?</w:t>
      </w:r>
      <w:r w:rsidR="002166AD">
        <w:rPr>
          <w:lang w:val="en-US"/>
        </w:rPr>
        <w:t xml:space="preserve"> </w:t>
      </w:r>
      <w:r w:rsidR="002925A7">
        <w:rPr>
          <w:lang w:val="en-US"/>
        </w:rPr>
        <w:t xml:space="preserve">  </w:t>
      </w:r>
      <w:r w:rsidR="002925A7">
        <w:rPr>
          <w:vanish/>
          <w:lang w:val="en-US"/>
        </w:rPr>
        <w:t xml:space="preserve"> </w:t>
      </w:r>
      <w:r w:rsidR="002166AD">
        <w:rPr>
          <w:lang w:val="en-US"/>
        </w:rPr>
        <w:t>Yes / No</w:t>
      </w:r>
    </w:p>
    <w:p w14:paraId="0E927616" w14:textId="77777777" w:rsidR="002166AD" w:rsidRDefault="002166AD" w:rsidP="001164CB">
      <w:pPr>
        <w:rPr>
          <w:lang w:val="en-US"/>
        </w:rPr>
      </w:pPr>
    </w:p>
    <w:p w14:paraId="23C8DD65" w14:textId="778A73B0" w:rsidR="002166AD" w:rsidRDefault="002B5B99" w:rsidP="001164CB">
      <w:pPr>
        <w:rPr>
          <w:lang w:val="en-US"/>
        </w:rPr>
      </w:pPr>
      <w:r>
        <w:rPr>
          <w:lang w:val="en-US"/>
        </w:rPr>
        <w:t>If “n</w:t>
      </w:r>
      <w:r w:rsidR="002166AD">
        <w:rPr>
          <w:lang w:val="en-US"/>
        </w:rPr>
        <w:t>o</w:t>
      </w:r>
      <w:r>
        <w:rPr>
          <w:lang w:val="en-US"/>
        </w:rPr>
        <w:t>”</w:t>
      </w:r>
      <w:r w:rsidR="002166AD">
        <w:rPr>
          <w:lang w:val="en-US"/>
        </w:rPr>
        <w:t>, how could it be better achieved?</w:t>
      </w:r>
    </w:p>
    <w:p w14:paraId="6BE23664" w14:textId="77777777" w:rsidR="002166AD" w:rsidRDefault="002166AD" w:rsidP="001164CB">
      <w:pPr>
        <w:rPr>
          <w:lang w:val="en-US"/>
        </w:rPr>
      </w:pPr>
    </w:p>
    <w:p w14:paraId="604D9E33" w14:textId="77777777" w:rsidR="002166AD" w:rsidRDefault="002166AD" w:rsidP="002166AD">
      <w:pPr>
        <w:pBdr>
          <w:top w:val="single" w:sz="4" w:space="1" w:color="auto"/>
          <w:left w:val="single" w:sz="4" w:space="4" w:color="auto"/>
          <w:bottom w:val="single" w:sz="4" w:space="1" w:color="auto"/>
          <w:right w:val="single" w:sz="4" w:space="4" w:color="auto"/>
        </w:pBdr>
        <w:rPr>
          <w:lang w:val="en-US"/>
        </w:rPr>
      </w:pPr>
    </w:p>
    <w:p w14:paraId="1CBAFEBE" w14:textId="77777777" w:rsidR="002166AD" w:rsidRDefault="002166AD" w:rsidP="002166AD">
      <w:pPr>
        <w:pBdr>
          <w:top w:val="single" w:sz="4" w:space="1" w:color="auto"/>
          <w:left w:val="single" w:sz="4" w:space="4" w:color="auto"/>
          <w:bottom w:val="single" w:sz="4" w:space="1" w:color="auto"/>
          <w:right w:val="single" w:sz="4" w:space="4" w:color="auto"/>
        </w:pBdr>
        <w:rPr>
          <w:lang w:val="en-US"/>
        </w:rPr>
      </w:pPr>
    </w:p>
    <w:p w14:paraId="4CCB8E4C" w14:textId="77777777" w:rsidR="002166AD" w:rsidRDefault="002166AD" w:rsidP="002166AD">
      <w:pPr>
        <w:pBdr>
          <w:top w:val="single" w:sz="4" w:space="1" w:color="auto"/>
          <w:left w:val="single" w:sz="4" w:space="4" w:color="auto"/>
          <w:bottom w:val="single" w:sz="4" w:space="1" w:color="auto"/>
          <w:right w:val="single" w:sz="4" w:space="4" w:color="auto"/>
        </w:pBdr>
        <w:rPr>
          <w:lang w:val="en-US"/>
        </w:rPr>
      </w:pPr>
    </w:p>
    <w:p w14:paraId="327C8462" w14:textId="77777777" w:rsidR="000408BA" w:rsidRDefault="000408BA" w:rsidP="002166AD">
      <w:pPr>
        <w:pBdr>
          <w:top w:val="single" w:sz="4" w:space="1" w:color="auto"/>
          <w:left w:val="single" w:sz="4" w:space="4" w:color="auto"/>
          <w:bottom w:val="single" w:sz="4" w:space="1" w:color="auto"/>
          <w:right w:val="single" w:sz="4" w:space="4" w:color="auto"/>
        </w:pBdr>
        <w:rPr>
          <w:lang w:val="en-US"/>
        </w:rPr>
      </w:pPr>
    </w:p>
    <w:p w14:paraId="7EA239EB" w14:textId="77777777" w:rsidR="002470F4" w:rsidRDefault="002470F4" w:rsidP="002166AD">
      <w:pPr>
        <w:pBdr>
          <w:top w:val="single" w:sz="4" w:space="1" w:color="auto"/>
          <w:left w:val="single" w:sz="4" w:space="4" w:color="auto"/>
          <w:bottom w:val="single" w:sz="4" w:space="1" w:color="auto"/>
          <w:right w:val="single" w:sz="4" w:space="4" w:color="auto"/>
        </w:pBdr>
        <w:rPr>
          <w:lang w:val="en-US"/>
        </w:rPr>
      </w:pPr>
    </w:p>
    <w:p w14:paraId="3094E502" w14:textId="77777777" w:rsidR="002470F4" w:rsidRDefault="002470F4" w:rsidP="002166AD">
      <w:pPr>
        <w:pBdr>
          <w:top w:val="single" w:sz="4" w:space="1" w:color="auto"/>
          <w:left w:val="single" w:sz="4" w:space="4" w:color="auto"/>
          <w:bottom w:val="single" w:sz="4" w:space="1" w:color="auto"/>
          <w:right w:val="single" w:sz="4" w:space="4" w:color="auto"/>
        </w:pBdr>
        <w:rPr>
          <w:lang w:val="en-US"/>
        </w:rPr>
      </w:pPr>
    </w:p>
    <w:p w14:paraId="381EDA31" w14:textId="77777777" w:rsidR="002166AD" w:rsidRDefault="002166AD" w:rsidP="002166AD">
      <w:pPr>
        <w:pBdr>
          <w:top w:val="single" w:sz="4" w:space="1" w:color="auto"/>
          <w:left w:val="single" w:sz="4" w:space="4" w:color="auto"/>
          <w:bottom w:val="single" w:sz="4" w:space="1" w:color="auto"/>
          <w:right w:val="single" w:sz="4" w:space="4" w:color="auto"/>
        </w:pBdr>
        <w:rPr>
          <w:lang w:val="en-US"/>
        </w:rPr>
      </w:pPr>
    </w:p>
    <w:p w14:paraId="12A568D0" w14:textId="77777777" w:rsidR="002166AD" w:rsidRDefault="002166AD" w:rsidP="002166AD">
      <w:pPr>
        <w:pBdr>
          <w:top w:val="single" w:sz="4" w:space="1" w:color="auto"/>
          <w:left w:val="single" w:sz="4" w:space="4" w:color="auto"/>
          <w:bottom w:val="single" w:sz="4" w:space="1" w:color="auto"/>
          <w:right w:val="single" w:sz="4" w:space="4" w:color="auto"/>
        </w:pBdr>
        <w:rPr>
          <w:lang w:val="en-US"/>
        </w:rPr>
      </w:pPr>
    </w:p>
    <w:p w14:paraId="6EB2B353" w14:textId="77777777" w:rsidR="002166AD" w:rsidRDefault="002166AD" w:rsidP="002166AD">
      <w:pPr>
        <w:pBdr>
          <w:top w:val="single" w:sz="4" w:space="1" w:color="auto"/>
          <w:left w:val="single" w:sz="4" w:space="4" w:color="auto"/>
          <w:bottom w:val="single" w:sz="4" w:space="1" w:color="auto"/>
          <w:right w:val="single" w:sz="4" w:space="4" w:color="auto"/>
        </w:pBdr>
        <w:rPr>
          <w:lang w:val="en-US"/>
        </w:rPr>
      </w:pPr>
    </w:p>
    <w:p w14:paraId="58966718" w14:textId="77777777" w:rsidR="002166AD" w:rsidRDefault="002166AD" w:rsidP="002166AD">
      <w:pPr>
        <w:pBdr>
          <w:top w:val="single" w:sz="4" w:space="1" w:color="auto"/>
          <w:left w:val="single" w:sz="4" w:space="4" w:color="auto"/>
          <w:bottom w:val="single" w:sz="4" w:space="1" w:color="auto"/>
          <w:right w:val="single" w:sz="4" w:space="4" w:color="auto"/>
        </w:pBdr>
        <w:rPr>
          <w:lang w:val="en-US"/>
        </w:rPr>
      </w:pPr>
    </w:p>
    <w:p w14:paraId="7A710E32" w14:textId="77777777" w:rsidR="00F42D74" w:rsidRDefault="00F42D74" w:rsidP="001164CB">
      <w:pPr>
        <w:rPr>
          <w:lang w:val="en-US"/>
        </w:rPr>
      </w:pPr>
    </w:p>
    <w:p w14:paraId="1282E1C7" w14:textId="77777777" w:rsidR="002470F4" w:rsidRDefault="002470F4" w:rsidP="001164CB">
      <w:pPr>
        <w:rPr>
          <w:lang w:val="en-US"/>
        </w:rPr>
      </w:pPr>
    </w:p>
    <w:p w14:paraId="421C3FD9" w14:textId="77777777" w:rsidR="002470F4" w:rsidRDefault="002470F4" w:rsidP="001164CB">
      <w:pPr>
        <w:rPr>
          <w:lang w:val="en-US"/>
        </w:rPr>
      </w:pPr>
    </w:p>
    <w:p w14:paraId="5E3A87DA" w14:textId="0FF55231" w:rsidR="00F42D74" w:rsidRDefault="0052342A" w:rsidP="001164CB">
      <w:pPr>
        <w:rPr>
          <w:lang w:val="en-US"/>
        </w:rPr>
      </w:pPr>
      <w:r>
        <w:rPr>
          <w:b/>
          <w:sz w:val="28"/>
          <w:lang w:val="en-US"/>
        </w:rPr>
        <w:t>Question 4</w:t>
      </w:r>
      <w:r w:rsidR="00F42D74" w:rsidRPr="00F42D74">
        <w:rPr>
          <w:b/>
          <w:sz w:val="28"/>
          <w:lang w:val="en-US"/>
        </w:rPr>
        <w:t xml:space="preserve"> Contractual specifications</w:t>
      </w:r>
    </w:p>
    <w:p w14:paraId="2C77A512" w14:textId="74EEDB6D" w:rsidR="00F42D74" w:rsidRDefault="00F42D74" w:rsidP="001164CB">
      <w:pPr>
        <w:rPr>
          <w:lang w:val="en-US"/>
        </w:rPr>
      </w:pPr>
    </w:p>
    <w:p w14:paraId="05047A29" w14:textId="14538AE2" w:rsidR="00F42D74" w:rsidRDefault="00F42D74" w:rsidP="001164CB">
      <w:pPr>
        <w:rPr>
          <w:lang w:val="en-US"/>
        </w:rPr>
      </w:pPr>
      <w:r w:rsidRPr="002925A7">
        <w:rPr>
          <w:b/>
          <w:lang w:val="en-US"/>
        </w:rPr>
        <w:t xml:space="preserve">Do you think that the section “7. Contractual specifications” </w:t>
      </w:r>
      <w:r w:rsidR="00B502BB">
        <w:rPr>
          <w:b/>
          <w:lang w:val="en-US"/>
        </w:rPr>
        <w:t>covers all necessary items</w:t>
      </w:r>
      <w:r w:rsidRPr="002925A7">
        <w:rPr>
          <w:b/>
          <w:lang w:val="en-US"/>
        </w:rPr>
        <w:t>?</w:t>
      </w:r>
      <w:r>
        <w:rPr>
          <w:lang w:val="en-US"/>
        </w:rPr>
        <w:t xml:space="preserve"> </w:t>
      </w:r>
      <w:r w:rsidR="002925A7">
        <w:rPr>
          <w:lang w:val="en-US"/>
        </w:rPr>
        <w:t xml:space="preserve">  </w:t>
      </w:r>
      <w:r w:rsidR="002925A7">
        <w:rPr>
          <w:vanish/>
          <w:lang w:val="en-US"/>
        </w:rPr>
        <w:t xml:space="preserve"> </w:t>
      </w:r>
      <w:r>
        <w:rPr>
          <w:lang w:val="en-US"/>
        </w:rPr>
        <w:t>Yes / No</w:t>
      </w:r>
    </w:p>
    <w:p w14:paraId="17CF2979" w14:textId="77777777" w:rsidR="00F42D74" w:rsidRDefault="00F42D74" w:rsidP="001164CB">
      <w:pPr>
        <w:rPr>
          <w:lang w:val="en-US"/>
        </w:rPr>
      </w:pPr>
    </w:p>
    <w:p w14:paraId="53FBFD4C" w14:textId="6731321B" w:rsidR="00F42D74" w:rsidRDefault="00F42D74" w:rsidP="001164CB">
      <w:pPr>
        <w:rPr>
          <w:lang w:val="en-US"/>
        </w:rPr>
      </w:pPr>
      <w:r>
        <w:rPr>
          <w:lang w:val="en-US"/>
        </w:rPr>
        <w:t>If “no”, how would you improve it?</w:t>
      </w:r>
    </w:p>
    <w:p w14:paraId="583A6815" w14:textId="77777777" w:rsidR="00F42D74" w:rsidRDefault="00F42D74" w:rsidP="00F42D74">
      <w:pPr>
        <w:rPr>
          <w:lang w:val="en-US"/>
        </w:rPr>
      </w:pPr>
    </w:p>
    <w:p w14:paraId="53B7BFAD" w14:textId="77777777" w:rsidR="00F42D74" w:rsidRDefault="00F42D74" w:rsidP="00F42D74">
      <w:pPr>
        <w:pBdr>
          <w:top w:val="single" w:sz="4" w:space="1" w:color="auto"/>
          <w:left w:val="single" w:sz="4" w:space="4" w:color="auto"/>
          <w:bottom w:val="single" w:sz="4" w:space="1" w:color="auto"/>
          <w:right w:val="single" w:sz="4" w:space="4" w:color="auto"/>
        </w:pBdr>
        <w:rPr>
          <w:lang w:val="en-US"/>
        </w:rPr>
      </w:pPr>
    </w:p>
    <w:p w14:paraId="4B4125B7" w14:textId="77777777" w:rsidR="00F42D74" w:rsidRDefault="00F42D74" w:rsidP="00F42D74">
      <w:pPr>
        <w:pBdr>
          <w:top w:val="single" w:sz="4" w:space="1" w:color="auto"/>
          <w:left w:val="single" w:sz="4" w:space="4" w:color="auto"/>
          <w:bottom w:val="single" w:sz="4" w:space="1" w:color="auto"/>
          <w:right w:val="single" w:sz="4" w:space="4" w:color="auto"/>
        </w:pBdr>
        <w:rPr>
          <w:lang w:val="en-US"/>
        </w:rPr>
      </w:pPr>
    </w:p>
    <w:p w14:paraId="1D50BD77" w14:textId="77777777" w:rsidR="00F42D74" w:rsidRDefault="00F42D74" w:rsidP="00F42D74">
      <w:pPr>
        <w:pBdr>
          <w:top w:val="single" w:sz="4" w:space="1" w:color="auto"/>
          <w:left w:val="single" w:sz="4" w:space="4" w:color="auto"/>
          <w:bottom w:val="single" w:sz="4" w:space="1" w:color="auto"/>
          <w:right w:val="single" w:sz="4" w:space="4" w:color="auto"/>
        </w:pBdr>
        <w:rPr>
          <w:lang w:val="en-US"/>
        </w:rPr>
      </w:pPr>
    </w:p>
    <w:p w14:paraId="3D814BDB" w14:textId="77777777" w:rsidR="00F42D74" w:rsidRDefault="00F42D74" w:rsidP="00F42D74">
      <w:pPr>
        <w:pBdr>
          <w:top w:val="single" w:sz="4" w:space="1" w:color="auto"/>
          <w:left w:val="single" w:sz="4" w:space="4" w:color="auto"/>
          <w:bottom w:val="single" w:sz="4" w:space="1" w:color="auto"/>
          <w:right w:val="single" w:sz="4" w:space="4" w:color="auto"/>
        </w:pBdr>
        <w:rPr>
          <w:lang w:val="en-US"/>
        </w:rPr>
      </w:pPr>
    </w:p>
    <w:p w14:paraId="2447F14B" w14:textId="77777777" w:rsidR="00F42D74" w:rsidRDefault="00F42D74" w:rsidP="00F42D74">
      <w:pPr>
        <w:pBdr>
          <w:top w:val="single" w:sz="4" w:space="1" w:color="auto"/>
          <w:left w:val="single" w:sz="4" w:space="4" w:color="auto"/>
          <w:bottom w:val="single" w:sz="4" w:space="1" w:color="auto"/>
          <w:right w:val="single" w:sz="4" w:space="4" w:color="auto"/>
        </w:pBdr>
        <w:rPr>
          <w:lang w:val="en-US"/>
        </w:rPr>
      </w:pPr>
    </w:p>
    <w:p w14:paraId="29A76B8C" w14:textId="77777777" w:rsidR="000408BA" w:rsidRDefault="000408BA" w:rsidP="00F42D74">
      <w:pPr>
        <w:pBdr>
          <w:top w:val="single" w:sz="4" w:space="1" w:color="auto"/>
          <w:left w:val="single" w:sz="4" w:space="4" w:color="auto"/>
          <w:bottom w:val="single" w:sz="4" w:space="1" w:color="auto"/>
          <w:right w:val="single" w:sz="4" w:space="4" w:color="auto"/>
        </w:pBdr>
        <w:rPr>
          <w:lang w:val="en-US"/>
        </w:rPr>
      </w:pPr>
    </w:p>
    <w:p w14:paraId="16D59116" w14:textId="77777777" w:rsidR="000408BA" w:rsidRDefault="000408BA" w:rsidP="00F42D74">
      <w:pPr>
        <w:pBdr>
          <w:top w:val="single" w:sz="4" w:space="1" w:color="auto"/>
          <w:left w:val="single" w:sz="4" w:space="4" w:color="auto"/>
          <w:bottom w:val="single" w:sz="4" w:space="1" w:color="auto"/>
          <w:right w:val="single" w:sz="4" w:space="4" w:color="auto"/>
        </w:pBdr>
        <w:rPr>
          <w:lang w:val="en-US"/>
        </w:rPr>
      </w:pPr>
    </w:p>
    <w:p w14:paraId="6BC0F2E6" w14:textId="77777777" w:rsidR="00F42D74" w:rsidRDefault="00F42D74" w:rsidP="00F42D74">
      <w:pPr>
        <w:pBdr>
          <w:top w:val="single" w:sz="4" w:space="1" w:color="auto"/>
          <w:left w:val="single" w:sz="4" w:space="4" w:color="auto"/>
          <w:bottom w:val="single" w:sz="4" w:space="1" w:color="auto"/>
          <w:right w:val="single" w:sz="4" w:space="4" w:color="auto"/>
        </w:pBdr>
        <w:rPr>
          <w:lang w:val="en-US"/>
        </w:rPr>
      </w:pPr>
    </w:p>
    <w:p w14:paraId="6E5E8CA4" w14:textId="77777777" w:rsidR="000408BA" w:rsidRDefault="000408BA" w:rsidP="000408BA">
      <w:pPr>
        <w:rPr>
          <w:b/>
          <w:sz w:val="28"/>
          <w:lang w:val="en-US"/>
        </w:rPr>
      </w:pPr>
    </w:p>
    <w:p w14:paraId="3C4672B4" w14:textId="77777777" w:rsidR="000408BA" w:rsidRPr="00147FC6" w:rsidRDefault="000408BA" w:rsidP="000408BA">
      <w:pPr>
        <w:rPr>
          <w:b/>
          <w:sz w:val="28"/>
          <w:lang w:val="en-US"/>
        </w:rPr>
      </w:pPr>
      <w:r>
        <w:rPr>
          <w:b/>
          <w:sz w:val="28"/>
          <w:lang w:val="en-US"/>
        </w:rPr>
        <w:t>Question 6</w:t>
      </w:r>
      <w:r w:rsidRPr="00147FC6">
        <w:rPr>
          <w:b/>
          <w:sz w:val="28"/>
          <w:lang w:val="en-US"/>
        </w:rPr>
        <w:tab/>
      </w:r>
      <w:r>
        <w:rPr>
          <w:b/>
          <w:sz w:val="28"/>
          <w:lang w:val="en-US"/>
        </w:rPr>
        <w:t xml:space="preserve">Guarantees in the case of bankruptcy </w:t>
      </w:r>
    </w:p>
    <w:p w14:paraId="75AB386E" w14:textId="77777777" w:rsidR="000408BA" w:rsidRDefault="000408BA" w:rsidP="000408BA">
      <w:pPr>
        <w:rPr>
          <w:lang w:val="en-US"/>
        </w:rPr>
      </w:pPr>
    </w:p>
    <w:p w14:paraId="44A0DA62" w14:textId="77777777" w:rsidR="000408BA" w:rsidRDefault="000408BA" w:rsidP="000408BA">
      <w:pPr>
        <w:rPr>
          <w:lang w:val="en-US"/>
        </w:rPr>
      </w:pPr>
      <w:r>
        <w:rPr>
          <w:lang w:val="en-US"/>
        </w:rPr>
        <w:t>The Art. 6 of Free Flow of non-personal Data The regulation asks for “</w:t>
      </w:r>
      <w:r w:rsidRPr="000408BA">
        <w:rPr>
          <w:lang w:val="en-US"/>
        </w:rPr>
        <w:t>guarantees for accessing data in the case of the bankruptcy of the provider” (see section 8.1.2 f of the draft Code)</w:t>
      </w:r>
      <w:r>
        <w:rPr>
          <w:lang w:val="en-US"/>
        </w:rPr>
        <w:t>.</w:t>
      </w:r>
    </w:p>
    <w:p w14:paraId="69E6B658" w14:textId="77777777" w:rsidR="000408BA" w:rsidRDefault="000408BA" w:rsidP="000408BA">
      <w:pPr>
        <w:rPr>
          <w:lang w:val="en-US"/>
        </w:rPr>
      </w:pPr>
    </w:p>
    <w:p w14:paraId="52EE3884" w14:textId="4D24C359" w:rsidR="000408BA" w:rsidRPr="000408BA" w:rsidRDefault="000408BA" w:rsidP="000408BA">
      <w:pPr>
        <w:rPr>
          <w:b/>
          <w:lang w:val="en-US"/>
        </w:rPr>
      </w:pPr>
      <w:r w:rsidRPr="000408BA">
        <w:rPr>
          <w:b/>
          <w:lang w:val="en-US"/>
        </w:rPr>
        <w:t xml:space="preserve">Which mechanisms would you suggest </w:t>
      </w:r>
      <w:r w:rsidRPr="000408BA">
        <w:rPr>
          <w:b/>
          <w:lang w:val="en-US"/>
        </w:rPr>
        <w:t>making</w:t>
      </w:r>
      <w:r w:rsidRPr="000408BA">
        <w:rPr>
          <w:b/>
          <w:lang w:val="en-US"/>
        </w:rPr>
        <w:t xml:space="preserve"> this guarantee effective?</w:t>
      </w:r>
    </w:p>
    <w:p w14:paraId="17FB0509" w14:textId="77777777" w:rsidR="000408BA" w:rsidRDefault="000408BA" w:rsidP="000408BA">
      <w:pPr>
        <w:rPr>
          <w:lang w:val="en-US"/>
        </w:rPr>
      </w:pPr>
    </w:p>
    <w:p w14:paraId="5A6F5770"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7C7A476A"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7A12A4A4"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38432097"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024601D3"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52C09B45"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421198EF"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3824E4C3"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09D93F50" w14:textId="77777777" w:rsidR="000408BA" w:rsidRDefault="000408BA" w:rsidP="001164CB">
      <w:pPr>
        <w:rPr>
          <w:lang w:val="en-US"/>
        </w:rPr>
      </w:pPr>
    </w:p>
    <w:p w14:paraId="5AA83985" w14:textId="402B5F51" w:rsidR="008249B5" w:rsidRDefault="008249B5" w:rsidP="008249B5">
      <w:pPr>
        <w:rPr>
          <w:b/>
          <w:sz w:val="28"/>
          <w:lang w:val="en-US"/>
        </w:rPr>
      </w:pPr>
      <w:r w:rsidRPr="00C60053">
        <w:rPr>
          <w:b/>
          <w:sz w:val="28"/>
          <w:lang w:val="en-US"/>
        </w:rPr>
        <w:t xml:space="preserve">Question </w:t>
      </w:r>
      <w:r w:rsidR="0052342A">
        <w:rPr>
          <w:b/>
          <w:sz w:val="28"/>
          <w:lang w:val="en-US"/>
        </w:rPr>
        <w:t>5</w:t>
      </w:r>
      <w:r>
        <w:rPr>
          <w:b/>
          <w:sz w:val="28"/>
          <w:lang w:val="en-US"/>
        </w:rPr>
        <w:t xml:space="preserve"> </w:t>
      </w:r>
      <w:r w:rsidR="00E946A0">
        <w:rPr>
          <w:b/>
          <w:sz w:val="28"/>
          <w:lang w:val="en-US"/>
        </w:rPr>
        <w:t>Governance</w:t>
      </w:r>
    </w:p>
    <w:p w14:paraId="7DE59BB0" w14:textId="77777777" w:rsidR="008249B5" w:rsidRDefault="008249B5" w:rsidP="008249B5">
      <w:pPr>
        <w:rPr>
          <w:b/>
          <w:sz w:val="28"/>
          <w:lang w:val="en-US"/>
        </w:rPr>
      </w:pPr>
    </w:p>
    <w:p w14:paraId="6C92AA6B" w14:textId="151E923E" w:rsidR="008249B5" w:rsidRPr="008249B5" w:rsidRDefault="00E946A0" w:rsidP="008249B5">
      <w:pPr>
        <w:rPr>
          <w:lang w:val="en-US"/>
        </w:rPr>
      </w:pPr>
      <w:r w:rsidRPr="002925A7">
        <w:rPr>
          <w:b/>
          <w:lang w:val="en-US"/>
        </w:rPr>
        <w:t>Do you think that the section “9.1 Governance” of the draft Code of Conduct</w:t>
      </w:r>
      <w:r w:rsidR="00D308EB">
        <w:rPr>
          <w:b/>
          <w:lang w:val="en-US"/>
        </w:rPr>
        <w:t xml:space="preserve"> will help to meet the objectives of the Code to ensure effectiveness of transfers</w:t>
      </w:r>
      <w:r w:rsidRPr="002925A7">
        <w:rPr>
          <w:b/>
          <w:lang w:val="en-US"/>
        </w:rPr>
        <w:t xml:space="preserve">? </w:t>
      </w:r>
      <w:r w:rsidR="00D308EB">
        <w:rPr>
          <w:b/>
          <w:lang w:val="en-US"/>
        </w:rPr>
        <w:tab/>
      </w:r>
      <w:r w:rsidR="00D308EB">
        <w:rPr>
          <w:b/>
          <w:lang w:val="en-US"/>
        </w:rPr>
        <w:tab/>
      </w:r>
      <w:r w:rsidR="008249B5" w:rsidRPr="008249B5">
        <w:rPr>
          <w:lang w:val="en-US"/>
        </w:rPr>
        <w:t>Yes / No</w:t>
      </w:r>
    </w:p>
    <w:p w14:paraId="40DF896F" w14:textId="77777777" w:rsidR="008249B5" w:rsidRDefault="008249B5" w:rsidP="001164CB">
      <w:pPr>
        <w:rPr>
          <w:lang w:val="en-US"/>
        </w:rPr>
      </w:pPr>
    </w:p>
    <w:p w14:paraId="65A6B42F" w14:textId="0C5C8F69" w:rsidR="008249B5" w:rsidRDefault="008249B5" w:rsidP="001164CB">
      <w:pPr>
        <w:rPr>
          <w:lang w:val="en-US"/>
        </w:rPr>
      </w:pPr>
      <w:r>
        <w:rPr>
          <w:lang w:val="en-US"/>
        </w:rPr>
        <w:t xml:space="preserve">If </w:t>
      </w:r>
      <w:r w:rsidR="002B5B99">
        <w:rPr>
          <w:lang w:val="en-US"/>
        </w:rPr>
        <w:t>“</w:t>
      </w:r>
      <w:r>
        <w:rPr>
          <w:lang w:val="en-US"/>
        </w:rPr>
        <w:t>no</w:t>
      </w:r>
      <w:r w:rsidR="002B5B99">
        <w:rPr>
          <w:lang w:val="en-US"/>
        </w:rPr>
        <w:t>”</w:t>
      </w:r>
      <w:r>
        <w:rPr>
          <w:lang w:val="en-US"/>
        </w:rPr>
        <w:t xml:space="preserve">, </w:t>
      </w:r>
      <w:r w:rsidR="00E946A0">
        <w:rPr>
          <w:lang w:val="en-US"/>
        </w:rPr>
        <w:t>how</w:t>
      </w:r>
      <w:r>
        <w:rPr>
          <w:lang w:val="en-US"/>
        </w:rPr>
        <w:t xml:space="preserve"> would you improve</w:t>
      </w:r>
      <w:r w:rsidR="00E946A0">
        <w:rPr>
          <w:lang w:val="en-US"/>
        </w:rPr>
        <w:t xml:space="preserve"> it</w:t>
      </w:r>
      <w:r w:rsidR="002B5B99">
        <w:rPr>
          <w:lang w:val="en-US"/>
        </w:rPr>
        <w:t>?</w:t>
      </w:r>
    </w:p>
    <w:p w14:paraId="541DA397" w14:textId="77777777" w:rsidR="002B5B99" w:rsidRDefault="002B5B99" w:rsidP="001164CB">
      <w:pPr>
        <w:rPr>
          <w:lang w:val="en-US"/>
        </w:rPr>
      </w:pPr>
    </w:p>
    <w:p w14:paraId="7A68E1CE"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24AB9B4A"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66713EAC"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217E2FB1"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00F85FAA"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537A9F60"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2240FC92"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3226320D"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02B38720" w14:textId="77777777" w:rsidR="008249B5" w:rsidRDefault="008249B5" w:rsidP="001164CB">
      <w:pPr>
        <w:rPr>
          <w:lang w:val="en-US"/>
        </w:rPr>
      </w:pPr>
    </w:p>
    <w:p w14:paraId="7E5ADB5C" w14:textId="77777777" w:rsidR="000408BA" w:rsidRDefault="000408BA" w:rsidP="001164CB">
      <w:pPr>
        <w:rPr>
          <w:lang w:val="en-US"/>
        </w:rPr>
      </w:pPr>
    </w:p>
    <w:p w14:paraId="40104874" w14:textId="0C9031DF" w:rsidR="00353502" w:rsidRPr="00147FC6" w:rsidRDefault="0052342A" w:rsidP="00353502">
      <w:pPr>
        <w:rPr>
          <w:b/>
          <w:sz w:val="28"/>
          <w:lang w:val="en-US"/>
        </w:rPr>
      </w:pPr>
      <w:r>
        <w:rPr>
          <w:b/>
          <w:sz w:val="28"/>
          <w:lang w:val="en-US"/>
        </w:rPr>
        <w:t>Question 7</w:t>
      </w:r>
      <w:r w:rsidR="00353502" w:rsidRPr="00147FC6">
        <w:rPr>
          <w:b/>
          <w:sz w:val="28"/>
          <w:lang w:val="en-US"/>
        </w:rPr>
        <w:tab/>
        <w:t xml:space="preserve"> </w:t>
      </w:r>
      <w:r w:rsidR="000408BA">
        <w:rPr>
          <w:b/>
          <w:sz w:val="28"/>
          <w:lang w:val="en-US"/>
        </w:rPr>
        <w:t>Opportunity of the Code</w:t>
      </w:r>
    </w:p>
    <w:p w14:paraId="4BB864F4" w14:textId="77777777" w:rsidR="00353502" w:rsidRDefault="00353502" w:rsidP="00353502">
      <w:pPr>
        <w:rPr>
          <w:lang w:val="en-US"/>
        </w:rPr>
      </w:pPr>
    </w:p>
    <w:p w14:paraId="7D15EC33" w14:textId="65A34922" w:rsidR="000408BA" w:rsidRDefault="000408BA" w:rsidP="00353502">
      <w:pPr>
        <w:rPr>
          <w:lang w:val="en-US"/>
        </w:rPr>
      </w:pPr>
      <w:r>
        <w:rPr>
          <w:lang w:val="en-US"/>
        </w:rPr>
        <w:t xml:space="preserve">Do you think this draft Code answers the regulation in a way that is useful to implement for industry players?  </w:t>
      </w:r>
      <w:r>
        <w:rPr>
          <w:lang w:val="en-US"/>
        </w:rPr>
        <w:t>Yes / No</w:t>
      </w:r>
    </w:p>
    <w:p w14:paraId="77D52152" w14:textId="77777777" w:rsidR="000408BA" w:rsidRDefault="000408BA" w:rsidP="00353502">
      <w:pPr>
        <w:rPr>
          <w:lang w:val="en-US"/>
        </w:rPr>
      </w:pPr>
    </w:p>
    <w:p w14:paraId="44397F48" w14:textId="1AE04DB4" w:rsidR="000408BA" w:rsidRDefault="000408BA" w:rsidP="00353502">
      <w:pPr>
        <w:rPr>
          <w:lang w:val="en-US"/>
        </w:rPr>
      </w:pPr>
      <w:r>
        <w:rPr>
          <w:lang w:val="en-US"/>
        </w:rPr>
        <w:t xml:space="preserve">If yes, </w:t>
      </w:r>
      <w:r>
        <w:rPr>
          <w:lang w:val="en-US"/>
        </w:rPr>
        <w:t>would you use it at a contractual level?</w:t>
      </w:r>
      <w:r>
        <w:rPr>
          <w:lang w:val="en-US"/>
        </w:rPr>
        <w:t xml:space="preserve"> </w:t>
      </w:r>
      <w:r>
        <w:rPr>
          <w:lang w:val="en-US"/>
        </w:rPr>
        <w:t>Yes / No</w:t>
      </w:r>
    </w:p>
    <w:p w14:paraId="6B65F571" w14:textId="77777777" w:rsidR="000408BA" w:rsidRDefault="000408BA" w:rsidP="000408BA">
      <w:pPr>
        <w:rPr>
          <w:lang w:val="en-US"/>
        </w:rPr>
      </w:pPr>
    </w:p>
    <w:p w14:paraId="2CC0C830" w14:textId="051A7F71" w:rsidR="000408BA" w:rsidRDefault="000408BA" w:rsidP="000408BA">
      <w:pPr>
        <w:rPr>
          <w:lang w:val="en-US"/>
        </w:rPr>
      </w:pPr>
      <w:r>
        <w:rPr>
          <w:lang w:val="en-US"/>
        </w:rPr>
        <w:t>Please, feel free to comment:</w:t>
      </w:r>
    </w:p>
    <w:p w14:paraId="7ACC9899" w14:textId="77777777" w:rsidR="000408BA" w:rsidRDefault="000408BA" w:rsidP="000408BA">
      <w:pPr>
        <w:rPr>
          <w:lang w:val="en-US"/>
        </w:rPr>
      </w:pPr>
    </w:p>
    <w:p w14:paraId="4185CE29"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4542DA21"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30B6F8A9"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766E289C"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7B18D1DE"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40FFC864" w14:textId="77777777" w:rsidR="000408BA" w:rsidRDefault="000408BA" w:rsidP="000408BA">
      <w:pPr>
        <w:pBdr>
          <w:top w:val="single" w:sz="4" w:space="1" w:color="auto"/>
          <w:left w:val="single" w:sz="4" w:space="4" w:color="auto"/>
          <w:bottom w:val="single" w:sz="4" w:space="1" w:color="auto"/>
          <w:right w:val="single" w:sz="4" w:space="4" w:color="auto"/>
        </w:pBdr>
        <w:rPr>
          <w:lang w:val="en-US"/>
        </w:rPr>
      </w:pPr>
    </w:p>
    <w:p w14:paraId="76D3FBBC" w14:textId="77777777" w:rsidR="00353502" w:rsidRDefault="00353502" w:rsidP="00353502">
      <w:pPr>
        <w:rPr>
          <w:lang w:val="en-US"/>
        </w:rPr>
      </w:pPr>
    </w:p>
    <w:p w14:paraId="6B955CBD" w14:textId="77777777" w:rsidR="008249B5" w:rsidRDefault="008249B5" w:rsidP="001164CB">
      <w:pPr>
        <w:rPr>
          <w:lang w:val="en-US"/>
        </w:rPr>
      </w:pPr>
    </w:p>
    <w:p w14:paraId="533A8028" w14:textId="258B5266" w:rsidR="009D0814" w:rsidRPr="00C60053" w:rsidRDefault="00C60053" w:rsidP="001164CB">
      <w:pPr>
        <w:rPr>
          <w:b/>
          <w:sz w:val="28"/>
          <w:lang w:val="en-US"/>
        </w:rPr>
      </w:pPr>
      <w:r w:rsidRPr="00C60053">
        <w:rPr>
          <w:b/>
          <w:sz w:val="28"/>
          <w:lang w:val="en-US"/>
        </w:rPr>
        <w:t xml:space="preserve">Question </w:t>
      </w:r>
      <w:r w:rsidR="0052342A">
        <w:rPr>
          <w:b/>
          <w:sz w:val="28"/>
          <w:lang w:val="en-US"/>
        </w:rPr>
        <w:t>8</w:t>
      </w:r>
      <w:r>
        <w:rPr>
          <w:b/>
          <w:sz w:val="28"/>
          <w:lang w:val="en-US"/>
        </w:rPr>
        <w:t xml:space="preserve"> </w:t>
      </w:r>
      <w:r w:rsidR="009D0814" w:rsidRPr="00C60053">
        <w:rPr>
          <w:b/>
          <w:sz w:val="28"/>
          <w:lang w:val="en-US"/>
        </w:rPr>
        <w:t>General comments</w:t>
      </w:r>
    </w:p>
    <w:p w14:paraId="06536E54" w14:textId="77777777" w:rsidR="009D0814" w:rsidRDefault="009D0814" w:rsidP="001164CB">
      <w:pPr>
        <w:rPr>
          <w:lang w:val="en-US"/>
        </w:rPr>
      </w:pPr>
    </w:p>
    <w:p w14:paraId="49BC404A" w14:textId="77777777" w:rsidR="009D0814" w:rsidRPr="00C60053" w:rsidRDefault="009D0814" w:rsidP="001164CB">
      <w:pPr>
        <w:rPr>
          <w:b/>
          <w:lang w:val="en-US"/>
        </w:rPr>
      </w:pPr>
      <w:r w:rsidRPr="00C60053">
        <w:rPr>
          <w:b/>
          <w:lang w:val="en-US"/>
        </w:rPr>
        <w:t>Feel free to share with us any general comments you would like</w:t>
      </w:r>
      <w:r w:rsidR="00C60053">
        <w:rPr>
          <w:b/>
          <w:lang w:val="en-US"/>
        </w:rPr>
        <w:t xml:space="preserve"> share with us:</w:t>
      </w:r>
      <w:r w:rsidRPr="00C60053">
        <w:rPr>
          <w:b/>
          <w:lang w:val="en-US"/>
        </w:rPr>
        <w:t xml:space="preserve"> </w:t>
      </w:r>
    </w:p>
    <w:p w14:paraId="55FB446D" w14:textId="77777777" w:rsidR="00147FC6" w:rsidRDefault="00147FC6" w:rsidP="001164CB">
      <w:pPr>
        <w:rPr>
          <w:lang w:val="en-US"/>
        </w:rPr>
      </w:pPr>
    </w:p>
    <w:p w14:paraId="237CF8DE" w14:textId="77777777" w:rsidR="00E7157F" w:rsidRDefault="00E7157F" w:rsidP="00E7157F">
      <w:pPr>
        <w:pBdr>
          <w:top w:val="single" w:sz="4" w:space="1" w:color="auto"/>
          <w:left w:val="single" w:sz="4" w:space="4" w:color="auto"/>
          <w:bottom w:val="single" w:sz="4" w:space="1" w:color="auto"/>
          <w:right w:val="single" w:sz="4" w:space="4" w:color="auto"/>
        </w:pBdr>
        <w:rPr>
          <w:lang w:val="en-US"/>
        </w:rPr>
      </w:pPr>
    </w:p>
    <w:p w14:paraId="0C642C60" w14:textId="77777777" w:rsidR="00E7157F" w:rsidRDefault="00E7157F" w:rsidP="00E7157F">
      <w:pPr>
        <w:pBdr>
          <w:top w:val="single" w:sz="4" w:space="1" w:color="auto"/>
          <w:left w:val="single" w:sz="4" w:space="4" w:color="auto"/>
          <w:bottom w:val="single" w:sz="4" w:space="1" w:color="auto"/>
          <w:right w:val="single" w:sz="4" w:space="4" w:color="auto"/>
        </w:pBdr>
        <w:rPr>
          <w:lang w:val="en-US"/>
        </w:rPr>
      </w:pPr>
    </w:p>
    <w:p w14:paraId="17D3EDAB" w14:textId="77777777" w:rsidR="002925A7" w:rsidRDefault="002925A7" w:rsidP="00E7157F">
      <w:pPr>
        <w:pBdr>
          <w:top w:val="single" w:sz="4" w:space="1" w:color="auto"/>
          <w:left w:val="single" w:sz="4" w:space="4" w:color="auto"/>
          <w:bottom w:val="single" w:sz="4" w:space="1" w:color="auto"/>
          <w:right w:val="single" w:sz="4" w:space="4" w:color="auto"/>
        </w:pBdr>
        <w:rPr>
          <w:lang w:val="en-US"/>
        </w:rPr>
      </w:pPr>
    </w:p>
    <w:p w14:paraId="7A071C8A" w14:textId="77777777" w:rsidR="00E7157F" w:rsidRDefault="00E7157F" w:rsidP="00E7157F">
      <w:pPr>
        <w:pBdr>
          <w:top w:val="single" w:sz="4" w:space="1" w:color="auto"/>
          <w:left w:val="single" w:sz="4" w:space="4" w:color="auto"/>
          <w:bottom w:val="single" w:sz="4" w:space="1" w:color="auto"/>
          <w:right w:val="single" w:sz="4" w:space="4" w:color="auto"/>
        </w:pBdr>
        <w:rPr>
          <w:lang w:val="en-US"/>
        </w:rPr>
      </w:pPr>
    </w:p>
    <w:p w14:paraId="7DDEC6C7" w14:textId="77777777" w:rsidR="00E7157F" w:rsidRDefault="00E7157F" w:rsidP="00E7157F">
      <w:pPr>
        <w:pBdr>
          <w:top w:val="single" w:sz="4" w:space="1" w:color="auto"/>
          <w:left w:val="single" w:sz="4" w:space="4" w:color="auto"/>
          <w:bottom w:val="single" w:sz="4" w:space="1" w:color="auto"/>
          <w:right w:val="single" w:sz="4" w:space="4" w:color="auto"/>
        </w:pBdr>
        <w:rPr>
          <w:lang w:val="en-US"/>
        </w:rPr>
      </w:pPr>
    </w:p>
    <w:p w14:paraId="667CA8D1" w14:textId="77777777" w:rsidR="00E7157F" w:rsidRDefault="00E7157F" w:rsidP="00E7157F">
      <w:pPr>
        <w:pBdr>
          <w:top w:val="single" w:sz="4" w:space="1" w:color="auto"/>
          <w:left w:val="single" w:sz="4" w:space="4" w:color="auto"/>
          <w:bottom w:val="single" w:sz="4" w:space="1" w:color="auto"/>
          <w:right w:val="single" w:sz="4" w:space="4" w:color="auto"/>
        </w:pBdr>
        <w:rPr>
          <w:lang w:val="en-US"/>
        </w:rPr>
      </w:pPr>
    </w:p>
    <w:p w14:paraId="576542C0" w14:textId="77777777" w:rsidR="00E7157F" w:rsidRDefault="00E7157F" w:rsidP="00E7157F">
      <w:pPr>
        <w:pBdr>
          <w:top w:val="single" w:sz="4" w:space="1" w:color="auto"/>
          <w:left w:val="single" w:sz="4" w:space="4" w:color="auto"/>
          <w:bottom w:val="single" w:sz="4" w:space="1" w:color="auto"/>
          <w:right w:val="single" w:sz="4" w:space="4" w:color="auto"/>
        </w:pBdr>
        <w:rPr>
          <w:lang w:val="en-US"/>
        </w:rPr>
      </w:pPr>
    </w:p>
    <w:p w14:paraId="16988E12" w14:textId="77777777" w:rsidR="002B5B99" w:rsidRDefault="002B5B99" w:rsidP="001164CB">
      <w:pPr>
        <w:rPr>
          <w:lang w:val="en-US"/>
        </w:rPr>
      </w:pPr>
    </w:p>
    <w:p w14:paraId="6FF8257D" w14:textId="77777777" w:rsidR="002B5B99" w:rsidRDefault="002B5B99" w:rsidP="001164CB">
      <w:pPr>
        <w:rPr>
          <w:lang w:val="en-US"/>
        </w:rPr>
      </w:pPr>
    </w:p>
    <w:p w14:paraId="19EFAF84" w14:textId="77777777" w:rsidR="009D0814" w:rsidRDefault="009D0814" w:rsidP="001164CB">
      <w:pPr>
        <w:rPr>
          <w:lang w:val="en-US"/>
        </w:rPr>
      </w:pPr>
    </w:p>
    <w:p w14:paraId="1B2D16C0" w14:textId="77777777" w:rsidR="00C60053" w:rsidRPr="00147FC6" w:rsidRDefault="00C60053" w:rsidP="00C60053">
      <w:pPr>
        <w:pBdr>
          <w:bottom w:val="single" w:sz="6" w:space="1" w:color="auto"/>
        </w:pBdr>
        <w:rPr>
          <w:b/>
          <w:sz w:val="36"/>
          <w:lang w:val="en-US"/>
        </w:rPr>
      </w:pPr>
      <w:r>
        <w:rPr>
          <w:b/>
          <w:sz w:val="36"/>
          <w:lang w:val="en-US"/>
        </w:rPr>
        <w:t>Timeline</w:t>
      </w:r>
    </w:p>
    <w:p w14:paraId="2BCE7547" w14:textId="77777777" w:rsidR="009D0814" w:rsidRDefault="009D0814" w:rsidP="001164CB">
      <w:pPr>
        <w:rPr>
          <w:lang w:val="en-US"/>
        </w:rPr>
      </w:pPr>
    </w:p>
    <w:p w14:paraId="2A76011B" w14:textId="77777777" w:rsidR="009D0814" w:rsidRDefault="00C60053" w:rsidP="001164CB">
      <w:pPr>
        <w:rPr>
          <w:lang w:val="en-US"/>
        </w:rPr>
      </w:pPr>
      <w:r>
        <w:rPr>
          <w:lang w:val="en-US"/>
        </w:rPr>
        <w:t>17</w:t>
      </w:r>
      <w:r w:rsidRPr="00C60053">
        <w:rPr>
          <w:vertAlign w:val="superscript"/>
          <w:lang w:val="en-US"/>
        </w:rPr>
        <w:t>th</w:t>
      </w:r>
      <w:r>
        <w:rPr>
          <w:lang w:val="en-US"/>
        </w:rPr>
        <w:t xml:space="preserve"> April 2018</w:t>
      </w:r>
      <w:r>
        <w:rPr>
          <w:lang w:val="en-US"/>
        </w:rPr>
        <w:tab/>
        <w:t xml:space="preserve"> – Start of the SWIPO IAAS Working Group</w:t>
      </w:r>
    </w:p>
    <w:p w14:paraId="5667CE08" w14:textId="77777777" w:rsidR="002B5B99" w:rsidRDefault="002B5B99" w:rsidP="001164CB">
      <w:pPr>
        <w:rPr>
          <w:lang w:val="en-US"/>
        </w:rPr>
      </w:pPr>
    </w:p>
    <w:p w14:paraId="6757F480" w14:textId="1DC325CC" w:rsidR="002B5B99" w:rsidRDefault="002B5B99" w:rsidP="001164CB">
      <w:pPr>
        <w:rPr>
          <w:lang w:val="en-US"/>
        </w:rPr>
      </w:pPr>
      <w:r>
        <w:rPr>
          <w:lang w:val="en-US"/>
        </w:rPr>
        <w:t>10</w:t>
      </w:r>
      <w:r w:rsidRPr="002B5B99">
        <w:rPr>
          <w:vertAlign w:val="superscript"/>
          <w:lang w:val="en-US"/>
        </w:rPr>
        <w:t>th</w:t>
      </w:r>
      <w:r>
        <w:rPr>
          <w:lang w:val="en-US"/>
        </w:rPr>
        <w:t xml:space="preserve"> June 2018</w:t>
      </w:r>
      <w:r>
        <w:rPr>
          <w:lang w:val="en-US"/>
        </w:rPr>
        <w:tab/>
      </w:r>
      <w:r>
        <w:rPr>
          <w:lang w:val="en-US"/>
        </w:rPr>
        <w:t xml:space="preserve">– </w:t>
      </w:r>
      <w:r>
        <w:rPr>
          <w:lang w:val="en-US"/>
        </w:rPr>
        <w:t>First draft Code of Conduct by the Core Drafting Group and Experts</w:t>
      </w:r>
    </w:p>
    <w:p w14:paraId="0C153A42" w14:textId="77777777" w:rsidR="00C60053" w:rsidRDefault="00C60053" w:rsidP="001164CB">
      <w:pPr>
        <w:rPr>
          <w:lang w:val="en-US"/>
        </w:rPr>
      </w:pPr>
    </w:p>
    <w:p w14:paraId="2568BA77" w14:textId="77777777" w:rsidR="00C60053" w:rsidRDefault="00C60053" w:rsidP="001164CB">
      <w:pPr>
        <w:rPr>
          <w:lang w:val="en-US"/>
        </w:rPr>
      </w:pPr>
      <w:r>
        <w:rPr>
          <w:lang w:val="en-US"/>
        </w:rPr>
        <w:t>11</w:t>
      </w:r>
      <w:r w:rsidRPr="00C60053">
        <w:rPr>
          <w:vertAlign w:val="superscript"/>
          <w:lang w:val="en-US"/>
        </w:rPr>
        <w:t>th</w:t>
      </w:r>
      <w:r>
        <w:rPr>
          <w:lang w:val="en-US"/>
        </w:rPr>
        <w:t xml:space="preserve"> June 2018 </w:t>
      </w:r>
      <w:r>
        <w:rPr>
          <w:lang w:val="en-US"/>
        </w:rPr>
        <w:tab/>
        <w:t>– Start of the Public Consultation on the draft IAAS Code of Conduct</w:t>
      </w:r>
    </w:p>
    <w:p w14:paraId="3DC61B75" w14:textId="77777777" w:rsidR="00C60053" w:rsidRDefault="00C60053" w:rsidP="001164CB">
      <w:pPr>
        <w:rPr>
          <w:lang w:val="en-US"/>
        </w:rPr>
      </w:pPr>
    </w:p>
    <w:p w14:paraId="74182221" w14:textId="77777777" w:rsidR="00C60053" w:rsidRDefault="00C60053" w:rsidP="001164CB">
      <w:pPr>
        <w:rPr>
          <w:lang w:val="en-US"/>
        </w:rPr>
      </w:pPr>
      <w:r>
        <w:rPr>
          <w:lang w:val="en-US"/>
        </w:rPr>
        <w:t>28</w:t>
      </w:r>
      <w:r w:rsidRPr="00C60053">
        <w:rPr>
          <w:vertAlign w:val="superscript"/>
          <w:lang w:val="en-US"/>
        </w:rPr>
        <w:t>th</w:t>
      </w:r>
      <w:r>
        <w:rPr>
          <w:lang w:val="en-US"/>
        </w:rPr>
        <w:t xml:space="preserve"> June 2018 </w:t>
      </w:r>
      <w:r>
        <w:rPr>
          <w:lang w:val="en-US"/>
        </w:rPr>
        <w:tab/>
        <w:t>– End of Public Consultation</w:t>
      </w:r>
    </w:p>
    <w:p w14:paraId="5CE248E4" w14:textId="77777777" w:rsidR="00C60053" w:rsidRDefault="00C60053" w:rsidP="001164CB">
      <w:pPr>
        <w:rPr>
          <w:lang w:val="en-US"/>
        </w:rPr>
      </w:pPr>
    </w:p>
    <w:p w14:paraId="70134B3C" w14:textId="77777777" w:rsidR="00C60053" w:rsidRDefault="00C60053" w:rsidP="001164CB">
      <w:pPr>
        <w:rPr>
          <w:lang w:val="en-US"/>
        </w:rPr>
      </w:pPr>
      <w:r>
        <w:rPr>
          <w:lang w:val="en-US"/>
        </w:rPr>
        <w:t>4</w:t>
      </w:r>
      <w:r w:rsidRPr="00C60053">
        <w:rPr>
          <w:lang w:val="en-US"/>
        </w:rPr>
        <w:t>th</w:t>
      </w:r>
      <w:r>
        <w:rPr>
          <w:lang w:val="en-US"/>
        </w:rPr>
        <w:t>/5</w:t>
      </w:r>
      <w:r w:rsidRPr="00C60053">
        <w:rPr>
          <w:lang w:val="en-US"/>
        </w:rPr>
        <w:t>th</w:t>
      </w:r>
      <w:r>
        <w:rPr>
          <w:lang w:val="en-US"/>
        </w:rPr>
        <w:t xml:space="preserve"> July 2018 </w:t>
      </w:r>
      <w:r>
        <w:rPr>
          <w:lang w:val="en-US"/>
        </w:rPr>
        <w:tab/>
        <w:t xml:space="preserve">– Public Presentation of the results of the Public Consultation </w:t>
      </w:r>
    </w:p>
    <w:p w14:paraId="2F3A3908" w14:textId="6FF2E2A8" w:rsidR="00C60053" w:rsidRDefault="00C60053" w:rsidP="00C60053">
      <w:pPr>
        <w:ind w:left="2124"/>
        <w:rPr>
          <w:lang w:val="en-US"/>
        </w:rPr>
      </w:pPr>
      <w:r>
        <w:rPr>
          <w:lang w:val="en-US"/>
        </w:rPr>
        <w:t xml:space="preserve">&amp; discussion by SWIPO </w:t>
      </w:r>
      <w:r w:rsidR="002B5B99">
        <w:rPr>
          <w:lang w:val="en-US"/>
        </w:rPr>
        <w:t xml:space="preserve">IAAS </w:t>
      </w:r>
      <w:r>
        <w:rPr>
          <w:lang w:val="en-US"/>
        </w:rPr>
        <w:t>Experts</w:t>
      </w:r>
      <w:r w:rsidR="002B5B99">
        <w:rPr>
          <w:lang w:val="en-US"/>
        </w:rPr>
        <w:t xml:space="preserve"> and Core Drafting Group</w:t>
      </w:r>
    </w:p>
    <w:p w14:paraId="67AAA1AD" w14:textId="77777777" w:rsidR="00C60053" w:rsidRDefault="00C60053" w:rsidP="00C60053">
      <w:pPr>
        <w:ind w:left="2124"/>
        <w:rPr>
          <w:lang w:val="en-US"/>
        </w:rPr>
      </w:pPr>
    </w:p>
    <w:p w14:paraId="1809456A" w14:textId="77777777" w:rsidR="00147FC6" w:rsidRPr="002166AD" w:rsidRDefault="00C60053" w:rsidP="001164CB">
      <w:pPr>
        <w:rPr>
          <w:lang w:val="en-US"/>
        </w:rPr>
      </w:pPr>
      <w:r>
        <w:rPr>
          <w:lang w:val="en-US"/>
        </w:rPr>
        <w:t>Sept/Oct</w:t>
      </w:r>
      <w:r>
        <w:rPr>
          <w:lang w:val="en-US"/>
        </w:rPr>
        <w:tab/>
      </w:r>
      <w:r>
        <w:rPr>
          <w:lang w:val="en-US"/>
        </w:rPr>
        <w:tab/>
        <w:t xml:space="preserve">– </w:t>
      </w:r>
      <w:r w:rsidRPr="00C60053">
        <w:rPr>
          <w:lang w:val="en-US"/>
        </w:rPr>
        <w:t>Approval of the IAAS Code of Conduct by SWIPO IAAS Experts</w:t>
      </w:r>
      <w:r>
        <w:rPr>
          <w:lang w:val="en-US"/>
        </w:rPr>
        <w:t xml:space="preserve"> </w:t>
      </w:r>
    </w:p>
    <w:p w14:paraId="55F678CC" w14:textId="0E252FA6" w:rsidR="00E946A0" w:rsidRDefault="00E946A0">
      <w:pPr>
        <w:rPr>
          <w:sz w:val="36"/>
          <w:lang w:val="en-US"/>
        </w:rPr>
      </w:pPr>
      <w:bookmarkStart w:id="0" w:name="_GoBack"/>
      <w:bookmarkEnd w:id="0"/>
    </w:p>
    <w:p w14:paraId="6C22CE59" w14:textId="77777777" w:rsidR="00E946A0" w:rsidRPr="00C60053" w:rsidRDefault="00E946A0" w:rsidP="001164CB">
      <w:pPr>
        <w:rPr>
          <w:sz w:val="36"/>
          <w:lang w:val="en-US"/>
        </w:rPr>
      </w:pPr>
    </w:p>
    <w:p w14:paraId="64B7258B" w14:textId="77777777" w:rsidR="00147FC6" w:rsidRPr="00C60053" w:rsidRDefault="00147FC6" w:rsidP="00C60053">
      <w:pPr>
        <w:jc w:val="center"/>
        <w:rPr>
          <w:sz w:val="36"/>
          <w:lang w:val="en-US"/>
        </w:rPr>
      </w:pPr>
      <w:r w:rsidRPr="00C60053">
        <w:rPr>
          <w:sz w:val="36"/>
          <w:lang w:val="en-US"/>
        </w:rPr>
        <w:t>Annex</w:t>
      </w:r>
    </w:p>
    <w:p w14:paraId="612842B3" w14:textId="2A07F4F6" w:rsidR="00147FC6" w:rsidRPr="00C60053" w:rsidRDefault="00147FC6" w:rsidP="00C60053">
      <w:pPr>
        <w:jc w:val="center"/>
        <w:rPr>
          <w:b/>
          <w:sz w:val="36"/>
          <w:lang w:val="en-US"/>
        </w:rPr>
      </w:pPr>
      <w:r w:rsidRPr="00C60053">
        <w:rPr>
          <w:b/>
          <w:sz w:val="36"/>
          <w:lang w:val="en-US"/>
        </w:rPr>
        <w:t>Initial text proposed by the European Commission</w:t>
      </w:r>
      <w:r w:rsidR="006B4B2E">
        <w:rPr>
          <w:b/>
          <w:sz w:val="36"/>
          <w:lang w:val="en-US"/>
        </w:rPr>
        <w:t xml:space="preserve"> (extract)</w:t>
      </w:r>
    </w:p>
    <w:p w14:paraId="6093BADF" w14:textId="77777777" w:rsidR="00C60053" w:rsidRDefault="00C60053" w:rsidP="001164CB">
      <w:pPr>
        <w:rPr>
          <w:lang w:val="en-US"/>
        </w:rPr>
      </w:pPr>
    </w:p>
    <w:p w14:paraId="74FE9412" w14:textId="77777777" w:rsidR="00C60053" w:rsidRDefault="00C60053" w:rsidP="001164CB">
      <w:pPr>
        <w:rPr>
          <w:lang w:val="en-US"/>
        </w:rPr>
      </w:pPr>
    </w:p>
    <w:p w14:paraId="52310256" w14:textId="77777777" w:rsidR="006B4B2E" w:rsidRDefault="000408BA" w:rsidP="001164CB">
      <w:pPr>
        <w:rPr>
          <w:lang w:val="en-US"/>
        </w:rPr>
      </w:pPr>
      <w:r w:rsidRPr="006B4B2E">
        <w:rPr>
          <w:lang w:val="en-US"/>
        </w:rPr>
        <w:t>Please find hereunder the extract of the Article 6 of the “Free Flow of non-personal Data Regulation”</w:t>
      </w:r>
      <w:r w:rsidR="006B4B2E">
        <w:rPr>
          <w:lang w:val="en-US"/>
        </w:rPr>
        <w:t xml:space="preserve"> as it was initially drafted in the proposed regulation by the European Commission</w:t>
      </w:r>
      <w:r w:rsidRPr="006B4B2E">
        <w:rPr>
          <w:lang w:val="en-US"/>
        </w:rPr>
        <w:t xml:space="preserve">. </w:t>
      </w:r>
    </w:p>
    <w:p w14:paraId="7A0A76B2" w14:textId="77777777" w:rsidR="006B4B2E" w:rsidRDefault="006B4B2E" w:rsidP="001164CB">
      <w:pPr>
        <w:rPr>
          <w:lang w:val="en-US"/>
        </w:rPr>
      </w:pPr>
    </w:p>
    <w:p w14:paraId="2EBD0880" w14:textId="4253F5C2" w:rsidR="0030109C" w:rsidRDefault="006B4B2E" w:rsidP="0030109C">
      <w:pPr>
        <w:rPr>
          <w:lang w:val="en-US"/>
        </w:rPr>
      </w:pPr>
      <w:r>
        <w:rPr>
          <w:lang w:val="en-US"/>
        </w:rPr>
        <w:t>In order t</w:t>
      </w:r>
      <w:r w:rsidRPr="006B4B2E">
        <w:rPr>
          <w:lang w:val="en-US"/>
        </w:rPr>
        <w:t xml:space="preserve">o understand the whole objectives of the regulation, this article should not be read </w:t>
      </w:r>
      <w:r>
        <w:rPr>
          <w:lang w:val="en-US"/>
        </w:rPr>
        <w:t xml:space="preserve">separately of the whole document. You will find the global the full text of the </w:t>
      </w:r>
      <w:r w:rsidR="0030109C">
        <w:rPr>
          <w:lang w:val="en-US"/>
        </w:rPr>
        <w:t>Proposition by the European Commission here:</w:t>
      </w:r>
      <w:r>
        <w:rPr>
          <w:lang w:val="en-US"/>
        </w:rPr>
        <w:t xml:space="preserve"> </w:t>
      </w:r>
      <w:hyperlink r:id="rId9" w:history="1">
        <w:r w:rsidR="0030109C" w:rsidRPr="00120F5F">
          <w:rPr>
            <w:rStyle w:val="Lienhypertexte"/>
            <w:lang w:val="en-US"/>
          </w:rPr>
          <w:t>http://ec.europa.eu/newsroom/dae/document.cfm?doc_id=46830</w:t>
        </w:r>
      </w:hyperlink>
      <w:r w:rsidR="0030109C">
        <w:rPr>
          <w:lang w:val="en-US"/>
        </w:rPr>
        <w:t xml:space="preserve"> </w:t>
      </w:r>
    </w:p>
    <w:p w14:paraId="66605E77" w14:textId="77777777" w:rsidR="0030109C" w:rsidRDefault="0030109C" w:rsidP="001164CB">
      <w:pPr>
        <w:rPr>
          <w:sz w:val="28"/>
          <w:szCs w:val="28"/>
          <w:lang w:val="en-US"/>
        </w:rPr>
      </w:pPr>
    </w:p>
    <w:p w14:paraId="5A57113C" w14:textId="77777777" w:rsidR="00FB4E38" w:rsidRDefault="00FB4E38" w:rsidP="001164CB">
      <w:pPr>
        <w:pBdr>
          <w:bottom w:val="single" w:sz="6" w:space="1" w:color="auto"/>
        </w:pBdr>
        <w:rPr>
          <w:sz w:val="28"/>
          <w:szCs w:val="28"/>
          <w:lang w:val="en-US"/>
        </w:rPr>
      </w:pPr>
    </w:p>
    <w:p w14:paraId="61067816" w14:textId="77777777" w:rsidR="006B4B2E" w:rsidRPr="00C60053" w:rsidRDefault="006B4B2E" w:rsidP="001164CB">
      <w:pPr>
        <w:rPr>
          <w:sz w:val="28"/>
          <w:szCs w:val="28"/>
          <w:lang w:val="en-US"/>
        </w:rPr>
      </w:pPr>
    </w:p>
    <w:p w14:paraId="002440B4" w14:textId="77777777" w:rsidR="00C60053" w:rsidRPr="006B4B2E" w:rsidRDefault="00C60053" w:rsidP="006B4B2E">
      <w:pPr>
        <w:widowControl w:val="0"/>
        <w:tabs>
          <w:tab w:val="left" w:pos="220"/>
          <w:tab w:val="left" w:pos="720"/>
        </w:tabs>
        <w:autoSpaceDE w:val="0"/>
        <w:autoSpaceDN w:val="0"/>
        <w:adjustRightInd w:val="0"/>
        <w:spacing w:after="240" w:line="360" w:lineRule="atLeast"/>
        <w:jc w:val="center"/>
        <w:rPr>
          <w:rFonts w:cs="Times"/>
          <w:color w:val="000000"/>
          <w:sz w:val="22"/>
          <w:szCs w:val="22"/>
          <w:lang w:val="en-US"/>
        </w:rPr>
      </w:pPr>
      <w:r w:rsidRPr="006B4B2E">
        <w:rPr>
          <w:rFonts w:cs="Times"/>
          <w:color w:val="000000"/>
          <w:sz w:val="22"/>
          <w:szCs w:val="22"/>
          <w:lang w:val="en-US"/>
        </w:rPr>
        <w:t>Article 6</w:t>
      </w:r>
    </w:p>
    <w:p w14:paraId="09D2DCE9" w14:textId="330629A9" w:rsidR="00C60053" w:rsidRPr="006B4B2E" w:rsidRDefault="00C60053" w:rsidP="006B4B2E">
      <w:pPr>
        <w:widowControl w:val="0"/>
        <w:tabs>
          <w:tab w:val="left" w:pos="220"/>
          <w:tab w:val="left" w:pos="720"/>
          <w:tab w:val="center" w:pos="4533"/>
        </w:tabs>
        <w:autoSpaceDE w:val="0"/>
        <w:autoSpaceDN w:val="0"/>
        <w:adjustRightInd w:val="0"/>
        <w:spacing w:after="240" w:line="360" w:lineRule="atLeast"/>
        <w:jc w:val="center"/>
        <w:rPr>
          <w:rFonts w:cs="Times"/>
          <w:color w:val="000000"/>
          <w:sz w:val="22"/>
          <w:szCs w:val="22"/>
          <w:lang w:val="en-US"/>
        </w:rPr>
      </w:pPr>
      <w:r w:rsidRPr="006B4B2E">
        <w:rPr>
          <w:rFonts w:cs="Times"/>
          <w:color w:val="000000"/>
          <w:sz w:val="22"/>
          <w:szCs w:val="22"/>
          <w:lang w:val="en-US"/>
        </w:rPr>
        <w:t>Porting of data</w:t>
      </w:r>
    </w:p>
    <w:p w14:paraId="79718DDD" w14:textId="77777777" w:rsidR="00C60053" w:rsidRPr="006B4B2E" w:rsidRDefault="00C60053" w:rsidP="00C60053">
      <w:pPr>
        <w:widowControl w:val="0"/>
        <w:autoSpaceDE w:val="0"/>
        <w:autoSpaceDN w:val="0"/>
        <w:adjustRightInd w:val="0"/>
        <w:spacing w:after="240" w:line="360" w:lineRule="atLeast"/>
        <w:jc w:val="both"/>
        <w:rPr>
          <w:rFonts w:cs="Times"/>
          <w:color w:val="000000"/>
          <w:sz w:val="22"/>
          <w:szCs w:val="22"/>
          <w:lang w:val="en-US"/>
        </w:rPr>
      </w:pPr>
      <w:r w:rsidRPr="006B4B2E">
        <w:rPr>
          <w:rFonts w:cs="Times New Roman"/>
          <w:color w:val="000000"/>
          <w:sz w:val="22"/>
          <w:szCs w:val="22"/>
          <w:lang w:val="en-US"/>
        </w:rPr>
        <w:t xml:space="preserve">1. The Commission shall encourage and facilitate the development of self-regulatory codes of conduct at Union level, in order to define guidelines on best practices in facilitating the switching of providers and to ensure that they provide professional users with sufficiently detailed, clear and transparent information before a contract for data storage and processing is concluded, as regards the following issues: </w:t>
      </w:r>
    </w:p>
    <w:p w14:paraId="145C60D9" w14:textId="77777777" w:rsidR="00C60053" w:rsidRPr="006B4B2E" w:rsidRDefault="00C60053" w:rsidP="00C60053">
      <w:pPr>
        <w:widowControl w:val="0"/>
        <w:autoSpaceDE w:val="0"/>
        <w:autoSpaceDN w:val="0"/>
        <w:adjustRightInd w:val="0"/>
        <w:spacing w:after="240" w:line="360" w:lineRule="atLeast"/>
        <w:jc w:val="both"/>
        <w:rPr>
          <w:rFonts w:cs="Times"/>
          <w:color w:val="000000"/>
          <w:sz w:val="22"/>
          <w:szCs w:val="22"/>
          <w:lang w:val="en-US"/>
        </w:rPr>
      </w:pPr>
      <w:r w:rsidRPr="006B4B2E">
        <w:rPr>
          <w:rFonts w:cs="Times New Roman"/>
          <w:color w:val="000000"/>
          <w:sz w:val="22"/>
          <w:szCs w:val="22"/>
          <w:lang w:val="en-US"/>
        </w:rPr>
        <w:t xml:space="preserve">(a) the processes, technical requirements, timeframes and charges that apply in case a professional user wants to switch to another provider or port data back to its own IT systems, including the processes and location of any data back-up, the available data formats and supports, the required IT configuration and minimum network bandwidth; the time required prior to initiating the porting process and the time during which the data will remain available for porting; and the guarantees for accessing data in the case of the bankruptcy of the provider; and </w:t>
      </w:r>
    </w:p>
    <w:p w14:paraId="36FC1C0E" w14:textId="77777777" w:rsidR="00C60053" w:rsidRPr="006B4B2E" w:rsidRDefault="00C60053" w:rsidP="00C60053">
      <w:pPr>
        <w:widowControl w:val="0"/>
        <w:autoSpaceDE w:val="0"/>
        <w:autoSpaceDN w:val="0"/>
        <w:adjustRightInd w:val="0"/>
        <w:spacing w:after="240" w:line="360" w:lineRule="atLeast"/>
        <w:jc w:val="both"/>
        <w:rPr>
          <w:rFonts w:cs="Times"/>
          <w:color w:val="000000"/>
          <w:sz w:val="22"/>
          <w:szCs w:val="22"/>
          <w:lang w:val="en-US"/>
        </w:rPr>
      </w:pPr>
      <w:r w:rsidRPr="006B4B2E">
        <w:rPr>
          <w:rFonts w:cs="Times New Roman"/>
          <w:color w:val="000000"/>
          <w:sz w:val="22"/>
          <w:szCs w:val="22"/>
          <w:lang w:val="en-US"/>
        </w:rPr>
        <w:t xml:space="preserve">(b) the operational requirements to switch or port data in a structured, commonly used and machine-readable format allowing sufficient time for the user to switch or port the data. </w:t>
      </w:r>
    </w:p>
    <w:p w14:paraId="00CD19E9" w14:textId="77777777" w:rsidR="00C60053" w:rsidRPr="006B4B2E" w:rsidRDefault="00C60053" w:rsidP="00C60053">
      <w:pPr>
        <w:widowControl w:val="0"/>
        <w:numPr>
          <w:ilvl w:val="0"/>
          <w:numId w:val="3"/>
        </w:numPr>
        <w:tabs>
          <w:tab w:val="left" w:pos="220"/>
          <w:tab w:val="left" w:pos="720"/>
        </w:tabs>
        <w:autoSpaceDE w:val="0"/>
        <w:autoSpaceDN w:val="0"/>
        <w:adjustRightInd w:val="0"/>
        <w:spacing w:after="320" w:line="360" w:lineRule="atLeast"/>
        <w:ind w:hanging="720"/>
        <w:jc w:val="both"/>
        <w:rPr>
          <w:rFonts w:cs="Times New Roman"/>
          <w:color w:val="000000"/>
          <w:sz w:val="22"/>
          <w:szCs w:val="22"/>
          <w:lang w:val="en-US"/>
        </w:rPr>
      </w:pPr>
      <w:r w:rsidRPr="006B4B2E">
        <w:rPr>
          <w:rFonts w:cs="Times New Roman"/>
          <w:color w:val="000000"/>
          <w:sz w:val="22"/>
          <w:szCs w:val="22"/>
          <w:lang w:val="en-US"/>
        </w:rPr>
        <w:t xml:space="preserve">The Commission shall encourage providers to effectively implement the codes of conduct referred to in paragraph 1 within one year after the start of application of this Regulation. </w:t>
      </w:r>
      <w:r w:rsidRPr="006B4B2E">
        <w:rPr>
          <w:rFonts w:ascii="MS Mincho" w:eastAsia="MS Mincho" w:hAnsi="MS Mincho" w:cs="MS Mincho"/>
          <w:color w:val="000000"/>
          <w:sz w:val="22"/>
          <w:szCs w:val="22"/>
          <w:lang w:val="en-US"/>
        </w:rPr>
        <w:t> </w:t>
      </w:r>
    </w:p>
    <w:p w14:paraId="5767A46F" w14:textId="77777777" w:rsidR="00C60053" w:rsidRPr="006B4B2E" w:rsidRDefault="00C60053" w:rsidP="00C60053">
      <w:pPr>
        <w:widowControl w:val="0"/>
        <w:numPr>
          <w:ilvl w:val="0"/>
          <w:numId w:val="3"/>
        </w:numPr>
        <w:tabs>
          <w:tab w:val="left" w:pos="220"/>
          <w:tab w:val="left" w:pos="720"/>
        </w:tabs>
        <w:autoSpaceDE w:val="0"/>
        <w:autoSpaceDN w:val="0"/>
        <w:adjustRightInd w:val="0"/>
        <w:spacing w:after="320" w:line="360" w:lineRule="atLeast"/>
        <w:ind w:hanging="720"/>
        <w:jc w:val="both"/>
        <w:rPr>
          <w:rFonts w:cs="Times New Roman"/>
          <w:color w:val="000000"/>
          <w:sz w:val="22"/>
          <w:szCs w:val="22"/>
          <w:lang w:val="en-US"/>
        </w:rPr>
      </w:pPr>
      <w:r w:rsidRPr="006B4B2E">
        <w:rPr>
          <w:rFonts w:cs="Times New Roman"/>
          <w:color w:val="000000"/>
          <w:sz w:val="22"/>
          <w:szCs w:val="22"/>
          <w:lang w:val="en-US"/>
        </w:rPr>
        <w:t xml:space="preserve">The Commission shall review the development and effective implementation of such codes of conduct and the effective provision of information by providers no later than two years after the start of application of this Regulation. </w:t>
      </w:r>
      <w:r w:rsidRPr="006B4B2E">
        <w:rPr>
          <w:rFonts w:ascii="MS Mincho" w:eastAsia="MS Mincho" w:hAnsi="MS Mincho" w:cs="MS Mincho"/>
          <w:color w:val="000000"/>
          <w:sz w:val="22"/>
          <w:szCs w:val="22"/>
          <w:lang w:val="en-US"/>
        </w:rPr>
        <w:t> </w:t>
      </w:r>
    </w:p>
    <w:p w14:paraId="3E1C1748" w14:textId="77777777" w:rsidR="00C60053" w:rsidRDefault="00C60053" w:rsidP="00C60053">
      <w:pPr>
        <w:pBdr>
          <w:bottom w:val="single" w:sz="6" w:space="1" w:color="auto"/>
        </w:pBdr>
        <w:jc w:val="both"/>
        <w:rPr>
          <w:sz w:val="22"/>
          <w:szCs w:val="22"/>
          <w:lang w:val="en-US"/>
        </w:rPr>
      </w:pPr>
    </w:p>
    <w:p w14:paraId="6FC10890" w14:textId="77777777" w:rsidR="006B4B2E" w:rsidRDefault="006B4B2E" w:rsidP="00C60053">
      <w:pPr>
        <w:jc w:val="both"/>
        <w:rPr>
          <w:sz w:val="22"/>
          <w:szCs w:val="22"/>
          <w:lang w:val="en-US"/>
        </w:rPr>
      </w:pPr>
    </w:p>
    <w:p w14:paraId="4EB8ACCF" w14:textId="77777777" w:rsidR="006B4B2E" w:rsidRPr="006B4B2E" w:rsidRDefault="006B4B2E" w:rsidP="00C60053">
      <w:pPr>
        <w:jc w:val="both"/>
        <w:rPr>
          <w:sz w:val="22"/>
          <w:szCs w:val="22"/>
          <w:lang w:val="en-US"/>
        </w:rPr>
      </w:pPr>
    </w:p>
    <w:sectPr w:rsidR="006B4B2E" w:rsidRPr="006B4B2E" w:rsidSect="00661AA6">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7E9C2" w14:textId="77777777" w:rsidR="00194C65" w:rsidRDefault="00194C65" w:rsidP="009D0814">
      <w:r>
        <w:separator/>
      </w:r>
    </w:p>
  </w:endnote>
  <w:endnote w:type="continuationSeparator" w:id="0">
    <w:p w14:paraId="11A227BC" w14:textId="77777777" w:rsidR="00194C65" w:rsidRDefault="00194C65" w:rsidP="009D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6D4CF" w14:textId="563889A4" w:rsidR="00363058" w:rsidRDefault="00363058" w:rsidP="00363058">
    <w:pPr>
      <w:pStyle w:val="Corpsdetexte"/>
      <w:spacing w:before="11"/>
      <w:jc w:val="center"/>
      <w:rPr>
        <w:rFonts w:asciiTheme="minorHAnsi" w:eastAsiaTheme="minorHAnsi" w:hAnsiTheme="minorHAnsi" w:cstheme="minorBidi"/>
        <w:b/>
        <w:sz w:val="20"/>
        <w:szCs w:val="32"/>
      </w:rPr>
    </w:pPr>
    <w:r w:rsidRPr="00363058">
      <w:rPr>
        <w:rFonts w:asciiTheme="minorHAnsi" w:eastAsiaTheme="minorHAnsi" w:hAnsiTheme="minorHAnsi" w:cstheme="minorBidi"/>
        <w:b/>
        <w:sz w:val="20"/>
        <w:szCs w:val="22"/>
      </w:rPr>
      <w:t xml:space="preserve">Draft Code of Conduct for Data Portability </w:t>
    </w:r>
    <w:r w:rsidRPr="00363058">
      <w:rPr>
        <w:rFonts w:asciiTheme="minorHAnsi" w:eastAsiaTheme="minorHAnsi" w:hAnsiTheme="minorHAnsi" w:cstheme="minorBidi"/>
        <w:b/>
        <w:sz w:val="20"/>
        <w:szCs w:val="22"/>
      </w:rPr>
      <w:t xml:space="preserve">&amp; </w:t>
    </w:r>
    <w:r w:rsidRPr="00363058">
      <w:rPr>
        <w:rFonts w:asciiTheme="minorHAnsi" w:eastAsiaTheme="minorHAnsi" w:hAnsiTheme="minorHAnsi" w:cstheme="minorBidi"/>
        <w:b/>
        <w:sz w:val="20"/>
        <w:szCs w:val="22"/>
      </w:rPr>
      <w:t xml:space="preserve">Cloud Service Switching </w:t>
    </w:r>
    <w:r w:rsidRPr="00363058">
      <w:rPr>
        <w:rFonts w:asciiTheme="minorHAnsi" w:eastAsiaTheme="minorHAnsi" w:hAnsiTheme="minorHAnsi" w:cstheme="minorBidi"/>
        <w:b/>
        <w:sz w:val="20"/>
        <w:szCs w:val="32"/>
      </w:rPr>
      <w:t xml:space="preserve">for </w:t>
    </w:r>
    <w:r w:rsidRPr="00363058">
      <w:rPr>
        <w:rFonts w:asciiTheme="minorHAnsi" w:eastAsiaTheme="minorHAnsi" w:hAnsiTheme="minorHAnsi" w:cstheme="minorBidi"/>
        <w:b/>
        <w:sz w:val="20"/>
        <w:szCs w:val="32"/>
      </w:rPr>
      <w:t>IaaS</w:t>
    </w:r>
    <w:r w:rsidRPr="00363058">
      <w:rPr>
        <w:rFonts w:asciiTheme="minorHAnsi" w:eastAsiaTheme="minorHAnsi" w:hAnsiTheme="minorHAnsi" w:cstheme="minorBidi"/>
        <w:b/>
        <w:sz w:val="20"/>
        <w:szCs w:val="32"/>
      </w:rPr>
      <w:t xml:space="preserve"> Cloud services</w:t>
    </w:r>
  </w:p>
  <w:p w14:paraId="1853F724" w14:textId="131B01EA" w:rsidR="008024F8" w:rsidRPr="00363058" w:rsidRDefault="00363058" w:rsidP="00363058">
    <w:pPr>
      <w:pStyle w:val="Corpsdetexte"/>
      <w:spacing w:before="11"/>
      <w:jc w:val="center"/>
      <w:rPr>
        <w:rFonts w:asciiTheme="minorHAnsi" w:eastAsiaTheme="minorHAnsi" w:hAnsiTheme="minorHAnsi" w:cstheme="minorBidi"/>
        <w:b/>
        <w:sz w:val="20"/>
        <w:szCs w:val="22"/>
      </w:rPr>
    </w:pPr>
    <w:r>
      <w:rPr>
        <w:rFonts w:asciiTheme="minorHAnsi" w:eastAsiaTheme="minorHAnsi" w:hAnsiTheme="minorHAnsi" w:cstheme="minorBidi"/>
        <w:b/>
        <w:sz w:val="20"/>
        <w:szCs w:val="32"/>
      </w:rPr>
      <w:t>Please send feedbacks by July 2</w:t>
    </w:r>
    <w:r w:rsidRPr="00363058">
      <w:rPr>
        <w:rFonts w:asciiTheme="minorHAnsi" w:eastAsiaTheme="minorHAnsi" w:hAnsiTheme="minorHAnsi" w:cstheme="minorBidi"/>
        <w:b/>
        <w:sz w:val="20"/>
        <w:szCs w:val="32"/>
        <w:vertAlign w:val="superscript"/>
      </w:rPr>
      <w:t>nd</w:t>
    </w:r>
    <w:r>
      <w:rPr>
        <w:rFonts w:asciiTheme="minorHAnsi" w:eastAsiaTheme="minorHAnsi" w:hAnsiTheme="minorHAnsi" w:cstheme="minorBidi"/>
        <w:b/>
        <w:sz w:val="20"/>
        <w:szCs w:val="32"/>
      </w:rPr>
      <w:t xml:space="preserve"> at </w:t>
    </w:r>
    <w:hyperlink r:id="rId1" w:history="1">
      <w:r w:rsidRPr="00120F5F">
        <w:rPr>
          <w:rStyle w:val="Lienhypertexte"/>
          <w:rFonts w:asciiTheme="minorHAnsi" w:eastAsiaTheme="minorHAnsi" w:hAnsiTheme="minorHAnsi" w:cstheme="minorBidi"/>
          <w:b/>
          <w:sz w:val="20"/>
          <w:szCs w:val="32"/>
        </w:rPr>
        <w:t>consultation@cloudswicthing.eu</w:t>
      </w:r>
    </w:hyperlink>
    <w:r>
      <w:rPr>
        <w:rFonts w:asciiTheme="minorHAnsi" w:eastAsiaTheme="minorHAnsi" w:hAnsiTheme="minorHAnsi" w:cstheme="minorBidi"/>
        <w:b/>
        <w:sz w:val="20"/>
        <w:szCs w:val="3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3DB31" w14:textId="77777777" w:rsidR="00194C65" w:rsidRDefault="00194C65" w:rsidP="009D0814">
      <w:r>
        <w:separator/>
      </w:r>
    </w:p>
  </w:footnote>
  <w:footnote w:type="continuationSeparator" w:id="0">
    <w:p w14:paraId="21481802" w14:textId="77777777" w:rsidR="00194C65" w:rsidRDefault="00194C65" w:rsidP="009D0814">
      <w:r>
        <w:continuationSeparator/>
      </w:r>
    </w:p>
  </w:footnote>
  <w:footnote w:id="1">
    <w:p w14:paraId="683FAB09" w14:textId="63F553A6" w:rsidR="002076C6" w:rsidRPr="00E7157F" w:rsidRDefault="009D0814" w:rsidP="00E7157F">
      <w:pPr>
        <w:jc w:val="both"/>
        <w:rPr>
          <w:rFonts w:eastAsia="Times New Roman" w:cs="Times New Roman"/>
          <w:color w:val="1A1A1A"/>
          <w:sz w:val="20"/>
          <w:szCs w:val="20"/>
          <w:shd w:val="clear" w:color="auto" w:fill="FFFFFF"/>
          <w:lang w:val="en-US" w:eastAsia="fr-FR"/>
        </w:rPr>
      </w:pPr>
      <w:r>
        <w:rPr>
          <w:rStyle w:val="Appelnotedebasdep"/>
        </w:rPr>
        <w:footnoteRef/>
      </w:r>
      <w:r w:rsidRPr="002076C6">
        <w:rPr>
          <w:lang w:val="en-US"/>
        </w:rPr>
        <w:t xml:space="preserve"> </w:t>
      </w:r>
      <w:r w:rsidR="002076C6" w:rsidRPr="002076C6">
        <w:rPr>
          <w:sz w:val="20"/>
          <w:szCs w:val="20"/>
          <w:lang w:val="en-US"/>
        </w:rPr>
        <w:t>The 17th April 2018, the SWIPO (Switching &amp; Porting) IAAS Working Group has been started by the European Commission’s Digital Single Market Cloud Stakeholder group. Co-chairs are Alban Schmutz (CISPE / OVH) and Freddy Van den Wyngaert (EuroCIO). Current members include representatives of</w:t>
      </w:r>
      <w:r w:rsidR="002076C6">
        <w:rPr>
          <w:sz w:val="20"/>
          <w:szCs w:val="20"/>
          <w:lang w:val="en-US"/>
        </w:rPr>
        <w:t xml:space="preserve"> </w:t>
      </w:r>
      <w:r w:rsidR="002076C6" w:rsidRPr="002076C6">
        <w:rPr>
          <w:rFonts w:eastAsia="Times New Roman" w:cs="Times New Roman"/>
          <w:color w:val="1A1A1A"/>
          <w:sz w:val="20"/>
          <w:szCs w:val="20"/>
          <w:shd w:val="clear" w:color="auto" w:fill="FFFFFF"/>
          <w:lang w:val="en-US" w:eastAsia="fr-FR"/>
        </w:rPr>
        <w:t>Alibaba</w:t>
      </w:r>
      <w:r w:rsidR="002076C6">
        <w:rPr>
          <w:rFonts w:eastAsia="Times New Roman" w:cs="Times New Roman"/>
          <w:color w:val="1A1A1A"/>
          <w:sz w:val="20"/>
          <w:szCs w:val="20"/>
          <w:shd w:val="clear" w:color="auto" w:fill="FFFFFF"/>
          <w:lang w:val="en-US" w:eastAsia="fr-FR"/>
        </w:rPr>
        <w:t xml:space="preserve">, </w:t>
      </w:r>
      <w:r w:rsidR="002076C6" w:rsidRPr="002076C6">
        <w:rPr>
          <w:rFonts w:eastAsia="Times New Roman" w:cs="Times New Roman"/>
          <w:bCs/>
          <w:color w:val="1A1A1A"/>
          <w:sz w:val="20"/>
          <w:szCs w:val="20"/>
          <w:lang w:val="en-US" w:eastAsia="fr-FR"/>
        </w:rPr>
        <w:t>Aruba</w:t>
      </w:r>
      <w:r w:rsidR="002076C6" w:rsidRPr="002076C6">
        <w:rPr>
          <w:rFonts w:eastAsia="Times New Roman" w:cs="Times New Roman"/>
          <w:color w:val="1A1A1A"/>
          <w:sz w:val="20"/>
          <w:szCs w:val="20"/>
          <w:shd w:val="clear" w:color="auto" w:fill="FFFFFF"/>
          <w:lang w:val="en-US" w:eastAsia="fr-FR"/>
        </w:rPr>
        <w:t>,</w:t>
      </w:r>
      <w:r w:rsidR="00E7157F">
        <w:rPr>
          <w:rFonts w:eastAsia="Times New Roman" w:cs="Times New Roman"/>
          <w:color w:val="1A1A1A"/>
          <w:sz w:val="20"/>
          <w:szCs w:val="20"/>
          <w:shd w:val="clear" w:color="auto" w:fill="FFFFFF"/>
          <w:lang w:val="en-US" w:eastAsia="fr-FR"/>
        </w:rPr>
        <w:t xml:space="preserve"> </w:t>
      </w:r>
      <w:r w:rsidR="002076C6" w:rsidRPr="002076C6">
        <w:rPr>
          <w:rFonts w:eastAsia="Times New Roman" w:cs="Times New Roman"/>
          <w:bCs/>
          <w:color w:val="1A1A1A"/>
          <w:sz w:val="20"/>
          <w:szCs w:val="20"/>
          <w:lang w:val="en-US" w:eastAsia="fr-FR"/>
        </w:rPr>
        <w:t>AWS</w:t>
      </w:r>
      <w:r w:rsidR="002076C6" w:rsidRPr="002076C6">
        <w:rPr>
          <w:rFonts w:eastAsia="Times New Roman" w:cs="Times New Roman"/>
          <w:color w:val="1A1A1A"/>
          <w:sz w:val="20"/>
          <w:szCs w:val="20"/>
          <w:shd w:val="clear" w:color="auto" w:fill="FFFFFF"/>
          <w:lang w:val="en-US" w:eastAsia="fr-FR"/>
        </w:rPr>
        <w:t>, </w:t>
      </w:r>
      <w:r w:rsidR="002076C6" w:rsidRPr="002076C6">
        <w:rPr>
          <w:rFonts w:eastAsia="Times New Roman" w:cs="Times New Roman"/>
          <w:bCs/>
          <w:color w:val="1A1A1A"/>
          <w:sz w:val="20"/>
          <w:szCs w:val="20"/>
          <w:lang w:val="en-US" w:eastAsia="fr-FR"/>
        </w:rPr>
        <w:t>CERN</w:t>
      </w:r>
      <w:r w:rsidR="002076C6" w:rsidRPr="002076C6">
        <w:rPr>
          <w:rFonts w:eastAsia="Times New Roman" w:cs="Times New Roman"/>
          <w:color w:val="1A1A1A"/>
          <w:sz w:val="20"/>
          <w:szCs w:val="20"/>
          <w:shd w:val="clear" w:color="auto" w:fill="FFFFFF"/>
          <w:lang w:val="en-US" w:eastAsia="fr-FR"/>
        </w:rPr>
        <w:t>, </w:t>
      </w:r>
      <w:r w:rsidR="002076C6" w:rsidRPr="002076C6">
        <w:rPr>
          <w:rFonts w:eastAsia="Times New Roman" w:cs="Times New Roman"/>
          <w:bCs/>
          <w:color w:val="1A1A1A"/>
          <w:sz w:val="20"/>
          <w:szCs w:val="20"/>
          <w:lang w:val="en-US" w:eastAsia="fr-FR"/>
        </w:rPr>
        <w:t>CIO Platform</w:t>
      </w:r>
      <w:r w:rsidR="002076C6" w:rsidRPr="002076C6">
        <w:rPr>
          <w:rFonts w:eastAsia="Times New Roman" w:cs="Times New Roman"/>
          <w:color w:val="1A1A1A"/>
          <w:sz w:val="20"/>
          <w:szCs w:val="20"/>
          <w:shd w:val="clear" w:color="auto" w:fill="FFFFFF"/>
          <w:lang w:val="en-US" w:eastAsia="fr-FR"/>
        </w:rPr>
        <w:t>, City Network</w:t>
      </w:r>
      <w:r w:rsidR="002076C6">
        <w:rPr>
          <w:rFonts w:eastAsia="Times New Roman" w:cs="Times New Roman"/>
          <w:bCs/>
          <w:color w:val="1A1A1A"/>
          <w:sz w:val="20"/>
          <w:szCs w:val="20"/>
          <w:lang w:val="en-US" w:eastAsia="fr-FR"/>
        </w:rPr>
        <w:t xml:space="preserve">, </w:t>
      </w:r>
      <w:r w:rsidR="002076C6" w:rsidRPr="002076C6">
        <w:rPr>
          <w:rFonts w:eastAsia="Times New Roman" w:cs="Times New Roman"/>
          <w:bCs/>
          <w:color w:val="1A1A1A"/>
          <w:sz w:val="20"/>
          <w:szCs w:val="20"/>
          <w:lang w:val="en-US" w:eastAsia="fr-FR"/>
        </w:rPr>
        <w:t>Credit Suisse</w:t>
      </w:r>
      <w:r w:rsidR="002076C6" w:rsidRPr="002076C6">
        <w:rPr>
          <w:rFonts w:eastAsia="Times New Roman" w:cs="Times New Roman"/>
          <w:color w:val="1A1A1A"/>
          <w:sz w:val="20"/>
          <w:szCs w:val="20"/>
          <w:shd w:val="clear" w:color="auto" w:fill="FFFFFF"/>
          <w:lang w:val="en-US" w:eastAsia="fr-FR"/>
        </w:rPr>
        <w:t xml:space="preserve">, EGI, Enter, </w:t>
      </w:r>
      <w:r w:rsidR="000408BA">
        <w:rPr>
          <w:rFonts w:eastAsia="Times New Roman" w:cs="Times New Roman"/>
          <w:color w:val="1A1A1A"/>
          <w:sz w:val="20"/>
          <w:szCs w:val="20"/>
          <w:shd w:val="clear" w:color="auto" w:fill="FFFFFF"/>
          <w:lang w:val="en-US" w:eastAsia="fr-FR"/>
        </w:rPr>
        <w:t xml:space="preserve">Gigas, </w:t>
      </w:r>
      <w:r w:rsidR="002076C6" w:rsidRPr="002076C6">
        <w:rPr>
          <w:rFonts w:eastAsia="Times New Roman" w:cs="Times New Roman"/>
          <w:color w:val="1A1A1A"/>
          <w:sz w:val="20"/>
          <w:szCs w:val="20"/>
          <w:shd w:val="clear" w:color="auto" w:fill="FFFFFF"/>
          <w:lang w:val="en-US" w:eastAsia="fr-FR"/>
        </w:rPr>
        <w:t>Google, </w:t>
      </w:r>
      <w:r w:rsidR="002076C6" w:rsidRPr="002076C6">
        <w:rPr>
          <w:rFonts w:eastAsia="Times New Roman" w:cs="Times New Roman"/>
          <w:bCs/>
          <w:color w:val="1A1A1A"/>
          <w:sz w:val="20"/>
          <w:szCs w:val="20"/>
          <w:lang w:val="en-US" w:eastAsia="fr-FR"/>
        </w:rPr>
        <w:t>IBM</w:t>
      </w:r>
      <w:r w:rsidR="002076C6" w:rsidRPr="002076C6">
        <w:rPr>
          <w:rFonts w:eastAsia="Times New Roman" w:cs="Times New Roman"/>
          <w:color w:val="1A1A1A"/>
          <w:sz w:val="20"/>
          <w:szCs w:val="20"/>
          <w:shd w:val="clear" w:color="auto" w:fill="FFFFFF"/>
          <w:lang w:val="en-US" w:eastAsia="fr-FR"/>
        </w:rPr>
        <w:t>, Ikoula, Linkbynet, Matilan, NTUA</w:t>
      </w:r>
      <w:r w:rsidR="002076C6">
        <w:rPr>
          <w:rFonts w:eastAsia="Times New Roman" w:cs="Times New Roman"/>
          <w:color w:val="1A1A1A"/>
          <w:sz w:val="20"/>
          <w:szCs w:val="20"/>
          <w:shd w:val="clear" w:color="auto" w:fill="FFFFFF"/>
          <w:lang w:val="en-US" w:eastAsia="fr-FR"/>
        </w:rPr>
        <w:t>,</w:t>
      </w:r>
      <w:r w:rsidR="00E7157F">
        <w:rPr>
          <w:rFonts w:eastAsia="Times New Roman" w:cs="Times New Roman"/>
          <w:color w:val="1A1A1A"/>
          <w:sz w:val="20"/>
          <w:szCs w:val="20"/>
          <w:shd w:val="clear" w:color="auto" w:fill="FFFFFF"/>
          <w:lang w:val="en-US" w:eastAsia="fr-FR"/>
        </w:rPr>
        <w:t xml:space="preserve"> </w:t>
      </w:r>
      <w:r w:rsidR="00E7157F" w:rsidRPr="002076C6">
        <w:rPr>
          <w:rFonts w:eastAsia="Times New Roman" w:cs="Times New Roman"/>
          <w:color w:val="1A1A1A"/>
          <w:sz w:val="20"/>
          <w:szCs w:val="20"/>
          <w:shd w:val="clear" w:color="auto" w:fill="FFFFFF"/>
          <w:lang w:val="en-US" w:eastAsia="fr-FR"/>
        </w:rPr>
        <w:t>Oracle, Outscale</w:t>
      </w:r>
      <w:r w:rsidR="00E7157F">
        <w:rPr>
          <w:rFonts w:eastAsia="Times New Roman" w:cs="Times New Roman"/>
          <w:color w:val="1A1A1A"/>
          <w:sz w:val="20"/>
          <w:szCs w:val="20"/>
          <w:shd w:val="clear" w:color="auto" w:fill="FFFFFF"/>
          <w:lang w:val="en-US" w:eastAsia="fr-FR"/>
        </w:rPr>
        <w:t>,</w:t>
      </w:r>
      <w:r w:rsidR="002076C6">
        <w:rPr>
          <w:rFonts w:eastAsia="Times New Roman" w:cs="Times New Roman"/>
          <w:color w:val="1A1A1A"/>
          <w:sz w:val="20"/>
          <w:szCs w:val="20"/>
          <w:shd w:val="clear" w:color="auto" w:fill="FFFFFF"/>
          <w:lang w:val="en-US" w:eastAsia="fr-FR"/>
        </w:rPr>
        <w:t xml:space="preserve"> </w:t>
      </w:r>
      <w:r w:rsidR="002076C6" w:rsidRPr="002076C6">
        <w:rPr>
          <w:rFonts w:eastAsia="Times New Roman" w:cs="Times New Roman"/>
          <w:bCs/>
          <w:color w:val="1A1A1A"/>
          <w:sz w:val="20"/>
          <w:szCs w:val="20"/>
          <w:lang w:val="en-US" w:eastAsia="fr-FR"/>
        </w:rPr>
        <w:t>Prologue</w:t>
      </w:r>
      <w:r w:rsidR="002076C6" w:rsidRPr="002076C6">
        <w:rPr>
          <w:rFonts w:eastAsia="Times New Roman" w:cs="Times New Roman"/>
          <w:color w:val="1A1A1A"/>
          <w:sz w:val="20"/>
          <w:szCs w:val="20"/>
          <w:shd w:val="clear" w:color="auto" w:fill="FFFFFF"/>
          <w:lang w:val="en-US" w:eastAsia="fr-FR"/>
        </w:rPr>
        <w:t>, </w:t>
      </w:r>
      <w:r w:rsidR="002076C6" w:rsidRPr="002076C6">
        <w:rPr>
          <w:rFonts w:eastAsia="Times New Roman" w:cs="Times New Roman"/>
          <w:bCs/>
          <w:color w:val="1A1A1A"/>
          <w:sz w:val="20"/>
          <w:szCs w:val="20"/>
          <w:lang w:val="en-US" w:eastAsia="fr-FR"/>
        </w:rPr>
        <w:t>Santander</w:t>
      </w:r>
      <w:r w:rsidR="002076C6" w:rsidRPr="002076C6">
        <w:rPr>
          <w:rFonts w:eastAsia="Times New Roman" w:cs="Times New Roman"/>
          <w:color w:val="1A1A1A"/>
          <w:sz w:val="20"/>
          <w:szCs w:val="20"/>
          <w:shd w:val="clear" w:color="auto" w:fill="FFFFFF"/>
          <w:lang w:val="en-US" w:eastAsia="fr-FR"/>
        </w:rPr>
        <w:t>, </w:t>
      </w:r>
      <w:r w:rsidR="002076C6">
        <w:rPr>
          <w:rFonts w:eastAsia="Times New Roman" w:cs="Times New Roman"/>
          <w:color w:val="1A1A1A"/>
          <w:sz w:val="20"/>
          <w:szCs w:val="20"/>
          <w:shd w:val="clear" w:color="auto" w:fill="FFFFFF"/>
          <w:lang w:val="en-US" w:eastAsia="fr-FR"/>
        </w:rPr>
        <w:t>UkCloud</w:t>
      </w:r>
      <w:r w:rsidR="00E7157F">
        <w:rPr>
          <w:rFonts w:eastAsia="Times New Roman" w:cs="Times New Roman"/>
          <w:color w:val="1A1A1A"/>
          <w:sz w:val="20"/>
          <w:szCs w:val="20"/>
          <w:shd w:val="clear" w:color="auto" w:fill="FFFFFF"/>
          <w:lang w:val="en-US" w:eastAsia="fr-FR"/>
        </w:rPr>
        <w:t xml:space="preserve"> and </w:t>
      </w:r>
      <w:r w:rsidR="002076C6" w:rsidRPr="002076C6">
        <w:rPr>
          <w:rFonts w:eastAsia="Times New Roman" w:cs="Times New Roman"/>
          <w:bCs/>
          <w:color w:val="1A1A1A"/>
          <w:sz w:val="20"/>
          <w:szCs w:val="20"/>
          <w:lang w:val="en-US" w:eastAsia="fr-FR"/>
        </w:rPr>
        <w:t>UpCloud</w:t>
      </w:r>
      <w:r w:rsidR="00E7157F">
        <w:rPr>
          <w:rFonts w:eastAsia="Times New Roman" w:cs="Times New Roman"/>
          <w:bCs/>
          <w:color w:val="1A1A1A"/>
          <w:sz w:val="20"/>
          <w:szCs w:val="20"/>
          <w:lang w:val="en-US" w:eastAsia="fr-FR"/>
        </w:rPr>
        <w:t>.</w:t>
      </w:r>
    </w:p>
    <w:p w14:paraId="6D91546E" w14:textId="77777777" w:rsidR="009D0814" w:rsidRPr="002076C6" w:rsidRDefault="009D0814">
      <w:pPr>
        <w:pStyle w:val="Notedebasdepage"/>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3C0E14"/>
    <w:multiLevelType w:val="hybridMultilevel"/>
    <w:tmpl w:val="3CD2AB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A34A32"/>
    <w:multiLevelType w:val="hybridMultilevel"/>
    <w:tmpl w:val="59E0587A"/>
    <w:lvl w:ilvl="0" w:tplc="A2BC863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CB"/>
    <w:rsid w:val="0002442A"/>
    <w:rsid w:val="000408BA"/>
    <w:rsid w:val="000957FF"/>
    <w:rsid w:val="000C25C4"/>
    <w:rsid w:val="001164CB"/>
    <w:rsid w:val="001259FE"/>
    <w:rsid w:val="00147FC6"/>
    <w:rsid w:val="001527EB"/>
    <w:rsid w:val="00194C65"/>
    <w:rsid w:val="001951C0"/>
    <w:rsid w:val="001A7712"/>
    <w:rsid w:val="002076C6"/>
    <w:rsid w:val="002133F3"/>
    <w:rsid w:val="002166AD"/>
    <w:rsid w:val="00232267"/>
    <w:rsid w:val="002470F4"/>
    <w:rsid w:val="002925A7"/>
    <w:rsid w:val="002B5B99"/>
    <w:rsid w:val="002C542D"/>
    <w:rsid w:val="002D6CC9"/>
    <w:rsid w:val="0030109C"/>
    <w:rsid w:val="00353502"/>
    <w:rsid w:val="00363058"/>
    <w:rsid w:val="00497DA5"/>
    <w:rsid w:val="004D6238"/>
    <w:rsid w:val="0052342A"/>
    <w:rsid w:val="00570A14"/>
    <w:rsid w:val="00604224"/>
    <w:rsid w:val="00661AA6"/>
    <w:rsid w:val="006B4B2E"/>
    <w:rsid w:val="00713766"/>
    <w:rsid w:val="00741897"/>
    <w:rsid w:val="00795CCA"/>
    <w:rsid w:val="007F224F"/>
    <w:rsid w:val="008024F8"/>
    <w:rsid w:val="008249B5"/>
    <w:rsid w:val="00913F81"/>
    <w:rsid w:val="009D0814"/>
    <w:rsid w:val="00A42D77"/>
    <w:rsid w:val="00A4307C"/>
    <w:rsid w:val="00A54842"/>
    <w:rsid w:val="00B502BB"/>
    <w:rsid w:val="00B748B9"/>
    <w:rsid w:val="00B85768"/>
    <w:rsid w:val="00C60053"/>
    <w:rsid w:val="00CB6C53"/>
    <w:rsid w:val="00D24027"/>
    <w:rsid w:val="00D308EB"/>
    <w:rsid w:val="00DE3269"/>
    <w:rsid w:val="00DF1E94"/>
    <w:rsid w:val="00E343FD"/>
    <w:rsid w:val="00E36DD9"/>
    <w:rsid w:val="00E7157F"/>
    <w:rsid w:val="00E946A0"/>
    <w:rsid w:val="00F3065C"/>
    <w:rsid w:val="00F42D74"/>
    <w:rsid w:val="00FB4E38"/>
    <w:rsid w:val="00FF4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7E4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00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1164CB"/>
    <w:pPr>
      <w:ind w:left="720"/>
      <w:contextualSpacing/>
    </w:pPr>
  </w:style>
  <w:style w:type="character" w:styleId="Lienhypertexte">
    <w:name w:val="Hyperlink"/>
    <w:basedOn w:val="Policepardfaut"/>
    <w:uiPriority w:val="99"/>
    <w:unhideWhenUsed/>
    <w:rsid w:val="001164CB"/>
    <w:rPr>
      <w:color w:val="0563C1" w:themeColor="hyperlink"/>
      <w:u w:val="single"/>
    </w:rPr>
  </w:style>
  <w:style w:type="paragraph" w:styleId="Notedebasdepage">
    <w:name w:val="footnote text"/>
    <w:basedOn w:val="Normal"/>
    <w:link w:val="NotedebasdepageCar"/>
    <w:uiPriority w:val="99"/>
    <w:unhideWhenUsed/>
    <w:rsid w:val="009D0814"/>
  </w:style>
  <w:style w:type="character" w:customStyle="1" w:styleId="NotedebasdepageCar">
    <w:name w:val="Note de bas de page Car"/>
    <w:basedOn w:val="Policepardfaut"/>
    <w:link w:val="Notedebasdepage"/>
    <w:uiPriority w:val="99"/>
    <w:rsid w:val="009D0814"/>
  </w:style>
  <w:style w:type="character" w:styleId="Appelnotedebasdep">
    <w:name w:val="footnote reference"/>
    <w:basedOn w:val="Policepardfaut"/>
    <w:uiPriority w:val="99"/>
    <w:unhideWhenUsed/>
    <w:rsid w:val="009D0814"/>
    <w:rPr>
      <w:vertAlign w:val="superscript"/>
    </w:rPr>
  </w:style>
  <w:style w:type="paragraph" w:styleId="Corpsdetexte">
    <w:name w:val="Body Text"/>
    <w:basedOn w:val="Normal"/>
    <w:link w:val="CorpsdetexteCar"/>
    <w:uiPriority w:val="1"/>
    <w:qFormat/>
    <w:rsid w:val="00D24027"/>
    <w:pPr>
      <w:widowControl w:val="0"/>
      <w:autoSpaceDE w:val="0"/>
      <w:autoSpaceDN w:val="0"/>
    </w:pPr>
    <w:rPr>
      <w:rFonts w:ascii="Franklin Gothic Book" w:eastAsia="Franklin Gothic Book" w:hAnsi="Franklin Gothic Book" w:cs="Franklin Gothic Book"/>
      <w:lang w:val="en-US"/>
    </w:rPr>
  </w:style>
  <w:style w:type="character" w:customStyle="1" w:styleId="CorpsdetexteCar">
    <w:name w:val="Corps de texte Car"/>
    <w:basedOn w:val="Policepardfaut"/>
    <w:link w:val="Corpsdetexte"/>
    <w:uiPriority w:val="1"/>
    <w:rsid w:val="00D24027"/>
    <w:rPr>
      <w:rFonts w:ascii="Franklin Gothic Book" w:eastAsia="Franklin Gothic Book" w:hAnsi="Franklin Gothic Book" w:cs="Franklin Gothic Book"/>
      <w:lang w:val="en-US"/>
    </w:rPr>
  </w:style>
  <w:style w:type="character" w:styleId="lev">
    <w:name w:val="Strong"/>
    <w:basedOn w:val="Policepardfaut"/>
    <w:uiPriority w:val="22"/>
    <w:qFormat/>
    <w:rsid w:val="002076C6"/>
    <w:rPr>
      <w:b/>
      <w:bCs/>
    </w:rPr>
  </w:style>
  <w:style w:type="character" w:customStyle="1" w:styleId="apple-converted-space">
    <w:name w:val="apple-converted-space"/>
    <w:basedOn w:val="Policepardfaut"/>
    <w:rsid w:val="002076C6"/>
  </w:style>
  <w:style w:type="paragraph" w:styleId="Normalweb">
    <w:name w:val="Normal (Web)"/>
    <w:basedOn w:val="Normal"/>
    <w:uiPriority w:val="99"/>
    <w:semiHidden/>
    <w:unhideWhenUsed/>
    <w:rsid w:val="00C60053"/>
    <w:pPr>
      <w:spacing w:before="100" w:beforeAutospacing="1" w:after="100" w:afterAutospacing="1"/>
    </w:pPr>
    <w:rPr>
      <w:rFonts w:ascii="Times New Roman" w:hAnsi="Times New Roman" w:cs="Times New Roman"/>
      <w:lang w:eastAsia="fr-FR"/>
    </w:rPr>
  </w:style>
  <w:style w:type="paragraph" w:styleId="En-tte">
    <w:name w:val="header"/>
    <w:basedOn w:val="Normal"/>
    <w:link w:val="En-tteCar"/>
    <w:uiPriority w:val="99"/>
    <w:unhideWhenUsed/>
    <w:rsid w:val="00661AA6"/>
    <w:pPr>
      <w:tabs>
        <w:tab w:val="center" w:pos="4536"/>
        <w:tab w:val="right" w:pos="9072"/>
      </w:tabs>
    </w:pPr>
  </w:style>
  <w:style w:type="character" w:customStyle="1" w:styleId="En-tteCar">
    <w:name w:val="En-tête Car"/>
    <w:basedOn w:val="Policepardfaut"/>
    <w:link w:val="En-tte"/>
    <w:uiPriority w:val="99"/>
    <w:rsid w:val="00661AA6"/>
  </w:style>
  <w:style w:type="paragraph" w:styleId="Pieddepage">
    <w:name w:val="footer"/>
    <w:basedOn w:val="Normal"/>
    <w:link w:val="PieddepageCar"/>
    <w:uiPriority w:val="99"/>
    <w:unhideWhenUsed/>
    <w:rsid w:val="00661AA6"/>
    <w:pPr>
      <w:tabs>
        <w:tab w:val="center" w:pos="4536"/>
        <w:tab w:val="right" w:pos="9072"/>
      </w:tabs>
    </w:pPr>
  </w:style>
  <w:style w:type="character" w:customStyle="1" w:styleId="PieddepageCar">
    <w:name w:val="Pied de page Car"/>
    <w:basedOn w:val="Policepardfaut"/>
    <w:link w:val="Pieddepage"/>
    <w:uiPriority w:val="99"/>
    <w:rsid w:val="0066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75009">
      <w:bodyDiv w:val="1"/>
      <w:marLeft w:val="0"/>
      <w:marRight w:val="0"/>
      <w:marTop w:val="0"/>
      <w:marBottom w:val="0"/>
      <w:divBdr>
        <w:top w:val="none" w:sz="0" w:space="0" w:color="auto"/>
        <w:left w:val="none" w:sz="0" w:space="0" w:color="auto"/>
        <w:bottom w:val="none" w:sz="0" w:space="0" w:color="auto"/>
        <w:right w:val="none" w:sz="0" w:space="0" w:color="auto"/>
      </w:divBdr>
    </w:div>
    <w:div w:id="1692219216">
      <w:bodyDiv w:val="1"/>
      <w:marLeft w:val="0"/>
      <w:marRight w:val="0"/>
      <w:marTop w:val="0"/>
      <w:marBottom w:val="0"/>
      <w:divBdr>
        <w:top w:val="none" w:sz="0" w:space="0" w:color="auto"/>
        <w:left w:val="none" w:sz="0" w:space="0" w:color="auto"/>
        <w:bottom w:val="none" w:sz="0" w:space="0" w:color="auto"/>
        <w:right w:val="none" w:sz="0" w:space="0" w:color="auto"/>
      </w:divBdr>
    </w:div>
    <w:div w:id="2018537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loudswitching.eu/wp-content/uploads/2018/06/20180608-Cloud-Portability_CoC_Draft_V016-PublicConsultation.docx" TargetMode="External"/><Relationship Id="rId8" Type="http://schemas.openxmlformats.org/officeDocument/2006/relationships/hyperlink" Target="mailto:consultation@cloudswitching.eu" TargetMode="External"/><Relationship Id="rId9" Type="http://schemas.openxmlformats.org/officeDocument/2006/relationships/hyperlink" Target="http://ec.europa.eu/newsroom/dae/document.cfm?doc_id=46830"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sultation@cloudswicthing.e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1195</Words>
  <Characters>6504</Characters>
  <Application>Microsoft Macintosh Word</Application>
  <DocSecurity>0</DocSecurity>
  <Lines>130</Lines>
  <Paragraphs>56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schmutz alban</dc:creator>
  <cp:keywords/>
  <dc:description/>
  <cp:lastModifiedBy>schmutz alban</cp:lastModifiedBy>
  <cp:revision>3</cp:revision>
  <dcterms:created xsi:type="dcterms:W3CDTF">2018-06-11T16:05:00Z</dcterms:created>
  <dcterms:modified xsi:type="dcterms:W3CDTF">2018-06-11T16:08:00Z</dcterms:modified>
</cp:coreProperties>
</file>